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F9560" w14:textId="77777777" w:rsidR="000C459D" w:rsidRPr="007C4D1E" w:rsidRDefault="0090328B" w:rsidP="007C4D1E">
      <w:pPr>
        <w:jc w:val="center"/>
        <w:rPr>
          <w:sz w:val="40"/>
          <w:szCs w:val="40"/>
          <w:lang w:eastAsia="en-AU"/>
        </w:rPr>
      </w:pPr>
      <w:r>
        <w:rPr>
          <w:noProof/>
          <w:sz w:val="40"/>
          <w:szCs w:val="40"/>
          <w:lang w:eastAsia="en-AU"/>
        </w:rPr>
        <w:drawing>
          <wp:inline distT="0" distB="0" distL="0" distR="0" wp14:anchorId="774FE87C" wp14:editId="4F96DF1F">
            <wp:extent cx="1410693" cy="1743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 transparent full colou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4751" cy="1760445"/>
                    </a:xfrm>
                    <a:prstGeom prst="rect">
                      <a:avLst/>
                    </a:prstGeom>
                  </pic:spPr>
                </pic:pic>
              </a:graphicData>
            </a:graphic>
          </wp:inline>
        </w:drawing>
      </w:r>
    </w:p>
    <w:p w14:paraId="3D724CA1" w14:textId="77777777" w:rsidR="000C459D" w:rsidRPr="000559F4" w:rsidRDefault="000C459D" w:rsidP="000559F4">
      <w:pPr>
        <w:jc w:val="center"/>
        <w:rPr>
          <w:b/>
          <w:sz w:val="48"/>
          <w:szCs w:val="48"/>
          <w:lang w:eastAsia="en-AU"/>
        </w:rPr>
      </w:pPr>
      <w:r w:rsidRPr="000559F4">
        <w:rPr>
          <w:b/>
          <w:sz w:val="48"/>
          <w:szCs w:val="48"/>
          <w:lang w:eastAsia="en-AU"/>
        </w:rPr>
        <w:t>PLANNING PROPOSAL</w:t>
      </w:r>
    </w:p>
    <w:p w14:paraId="64F2A4A3" w14:textId="77777777" w:rsidR="000C459D" w:rsidRPr="000559F4" w:rsidRDefault="000C459D" w:rsidP="000559F4">
      <w:pPr>
        <w:jc w:val="center"/>
        <w:rPr>
          <w:b/>
          <w:sz w:val="36"/>
          <w:szCs w:val="36"/>
          <w:lang w:eastAsia="en-AU"/>
        </w:rPr>
      </w:pPr>
      <w:r w:rsidRPr="000559F4">
        <w:rPr>
          <w:b/>
          <w:sz w:val="36"/>
          <w:szCs w:val="36"/>
          <w:lang w:eastAsia="en-AU"/>
        </w:rPr>
        <w:t>Amendment to the</w:t>
      </w:r>
    </w:p>
    <w:p w14:paraId="4BA2ED7C" w14:textId="77777777" w:rsidR="000C459D" w:rsidRPr="000559F4" w:rsidRDefault="000C459D" w:rsidP="000559F4">
      <w:pPr>
        <w:jc w:val="center"/>
        <w:rPr>
          <w:b/>
          <w:i/>
          <w:sz w:val="36"/>
          <w:szCs w:val="36"/>
          <w:lang w:eastAsia="en-AU"/>
        </w:rPr>
      </w:pPr>
      <w:r w:rsidRPr="000559F4">
        <w:rPr>
          <w:b/>
          <w:i/>
          <w:sz w:val="36"/>
          <w:szCs w:val="36"/>
          <w:lang w:eastAsia="en-AU"/>
        </w:rPr>
        <w:t>Cessnock Local Environment</w:t>
      </w:r>
      <w:r w:rsidR="00D625F6">
        <w:rPr>
          <w:b/>
          <w:i/>
          <w:sz w:val="36"/>
          <w:szCs w:val="36"/>
          <w:lang w:eastAsia="en-AU"/>
        </w:rPr>
        <w:t>al</w:t>
      </w:r>
      <w:r w:rsidRPr="000559F4">
        <w:rPr>
          <w:b/>
          <w:i/>
          <w:sz w:val="36"/>
          <w:szCs w:val="36"/>
          <w:lang w:eastAsia="en-AU"/>
        </w:rPr>
        <w:t xml:space="preserve"> Plan 2011</w:t>
      </w:r>
    </w:p>
    <w:p w14:paraId="447D99F2" w14:textId="77777777" w:rsidR="000C459D" w:rsidRPr="008578E4" w:rsidRDefault="000C459D" w:rsidP="00A045F7">
      <w:pPr>
        <w:rPr>
          <w:lang w:eastAsia="en-AU"/>
        </w:rPr>
      </w:pPr>
    </w:p>
    <w:p w14:paraId="69A5CC12" w14:textId="1EBEA9FE" w:rsidR="004E492E" w:rsidRDefault="004E492E" w:rsidP="006E3DBF">
      <w:pPr>
        <w:jc w:val="center"/>
        <w:rPr>
          <w:sz w:val="32"/>
          <w:szCs w:val="36"/>
        </w:rPr>
      </w:pPr>
      <w:r>
        <w:rPr>
          <w:sz w:val="32"/>
          <w:szCs w:val="36"/>
        </w:rPr>
        <w:t>Planning Proposal to R</w:t>
      </w:r>
      <w:r w:rsidR="00722359">
        <w:rPr>
          <w:sz w:val="32"/>
          <w:szCs w:val="36"/>
        </w:rPr>
        <w:t>eclassify</w:t>
      </w:r>
    </w:p>
    <w:p w14:paraId="2187A1F9" w14:textId="2A8481FC" w:rsidR="000559F4" w:rsidRDefault="00F2592E" w:rsidP="006E3DBF">
      <w:pPr>
        <w:jc w:val="center"/>
        <w:rPr>
          <w:sz w:val="32"/>
          <w:szCs w:val="36"/>
        </w:rPr>
      </w:pPr>
      <w:r w:rsidRPr="00F2592E">
        <w:rPr>
          <w:sz w:val="32"/>
          <w:szCs w:val="36"/>
        </w:rPr>
        <w:t>Molly Worthington Netball Courts</w:t>
      </w:r>
      <w:r w:rsidR="004E492E">
        <w:rPr>
          <w:sz w:val="32"/>
          <w:szCs w:val="36"/>
        </w:rPr>
        <w:t>, Kurri Kurri</w:t>
      </w:r>
    </w:p>
    <w:p w14:paraId="7770AB92" w14:textId="624907DD" w:rsidR="00F2592E" w:rsidRPr="00110F76" w:rsidRDefault="00110F76" w:rsidP="00110F76">
      <w:pPr>
        <w:spacing w:after="120"/>
        <w:jc w:val="center"/>
        <w:rPr>
          <w:sz w:val="16"/>
          <w:szCs w:val="16"/>
          <w:lang w:eastAsia="en-AU"/>
        </w:rPr>
      </w:pPr>
      <w:r w:rsidRPr="00110F76">
        <w:rPr>
          <w:sz w:val="16"/>
          <w:szCs w:val="16"/>
        </w:rPr>
        <w:t xml:space="preserve">(Lot 5 and Part </w:t>
      </w:r>
      <w:r>
        <w:rPr>
          <w:sz w:val="16"/>
          <w:szCs w:val="16"/>
        </w:rPr>
        <w:t xml:space="preserve">of </w:t>
      </w:r>
      <w:r w:rsidRPr="00110F76">
        <w:rPr>
          <w:sz w:val="16"/>
          <w:szCs w:val="16"/>
        </w:rPr>
        <w:t>Lot 7 DP 1140055)</w:t>
      </w:r>
    </w:p>
    <w:p w14:paraId="0F9DD06B" w14:textId="13EBADE2" w:rsidR="00E527D0" w:rsidRDefault="00E527D0" w:rsidP="000559F4">
      <w:pPr>
        <w:jc w:val="right"/>
        <w:rPr>
          <w:lang w:eastAsia="en-AU"/>
        </w:rPr>
      </w:pPr>
    </w:p>
    <w:p w14:paraId="537A6F12" w14:textId="4D22385B" w:rsidR="00E527D0" w:rsidRDefault="00E527D0" w:rsidP="000559F4">
      <w:pPr>
        <w:jc w:val="right"/>
        <w:rPr>
          <w:lang w:eastAsia="en-AU"/>
        </w:rPr>
      </w:pPr>
    </w:p>
    <w:p w14:paraId="34D8DF04" w14:textId="253E7229" w:rsidR="00E527D0" w:rsidRDefault="00E527D0" w:rsidP="000559F4">
      <w:pPr>
        <w:jc w:val="right"/>
        <w:rPr>
          <w:lang w:eastAsia="en-AU"/>
        </w:rPr>
      </w:pPr>
    </w:p>
    <w:p w14:paraId="67AE5A92" w14:textId="54152B40" w:rsidR="00E527D0" w:rsidRDefault="00E527D0" w:rsidP="000559F4">
      <w:pPr>
        <w:jc w:val="right"/>
        <w:rPr>
          <w:lang w:eastAsia="en-AU"/>
        </w:rPr>
      </w:pPr>
    </w:p>
    <w:p w14:paraId="4B290C91" w14:textId="6D018C7F" w:rsidR="00E527D0" w:rsidRDefault="00E527D0" w:rsidP="000559F4">
      <w:pPr>
        <w:jc w:val="right"/>
        <w:rPr>
          <w:lang w:eastAsia="en-AU"/>
        </w:rPr>
      </w:pPr>
    </w:p>
    <w:p w14:paraId="5F6C633D" w14:textId="6791C5AE" w:rsidR="00E527D0" w:rsidRDefault="00E527D0" w:rsidP="000559F4">
      <w:pPr>
        <w:jc w:val="right"/>
        <w:rPr>
          <w:lang w:eastAsia="en-AU"/>
        </w:rPr>
      </w:pPr>
    </w:p>
    <w:p w14:paraId="6EA7FCE4" w14:textId="77777777" w:rsidR="00F2592E" w:rsidRDefault="00F2592E" w:rsidP="000559F4">
      <w:pPr>
        <w:jc w:val="right"/>
        <w:rPr>
          <w:lang w:eastAsia="en-AU"/>
        </w:rPr>
      </w:pPr>
    </w:p>
    <w:p w14:paraId="415724DA" w14:textId="489747BD" w:rsidR="000C459D" w:rsidRDefault="000C459D" w:rsidP="000559F4">
      <w:pPr>
        <w:jc w:val="right"/>
        <w:rPr>
          <w:lang w:eastAsia="en-AU"/>
        </w:rPr>
      </w:pPr>
      <w:r>
        <w:rPr>
          <w:lang w:eastAsia="en-AU"/>
        </w:rPr>
        <w:t xml:space="preserve">Version </w:t>
      </w:r>
      <w:r w:rsidR="00887956">
        <w:rPr>
          <w:lang w:eastAsia="en-AU"/>
        </w:rPr>
        <w:t>1</w:t>
      </w:r>
    </w:p>
    <w:p w14:paraId="472D9D9B" w14:textId="4B3EB2D4" w:rsidR="000C459D" w:rsidRPr="0039598E" w:rsidRDefault="00E527D0" w:rsidP="00D060D3">
      <w:pPr>
        <w:jc w:val="right"/>
        <w:rPr>
          <w:lang w:eastAsia="en-AU"/>
        </w:rPr>
      </w:pPr>
      <w:r>
        <w:rPr>
          <w:lang w:eastAsia="en-AU"/>
        </w:rPr>
        <w:t>1</w:t>
      </w:r>
      <w:r w:rsidR="00602E8C">
        <w:rPr>
          <w:lang w:eastAsia="en-AU"/>
        </w:rPr>
        <w:t>9</w:t>
      </w:r>
      <w:r>
        <w:rPr>
          <w:lang w:eastAsia="en-AU"/>
        </w:rPr>
        <w:t xml:space="preserve"> August 2021</w:t>
      </w:r>
    </w:p>
    <w:p w14:paraId="3C04180E" w14:textId="15E8D6D2" w:rsidR="008A745E" w:rsidRPr="0030679D" w:rsidRDefault="000C459D" w:rsidP="000559F4">
      <w:pPr>
        <w:spacing w:after="120"/>
        <w:jc w:val="right"/>
      </w:pPr>
      <w:r w:rsidRPr="000559F4">
        <w:rPr>
          <w:b/>
          <w:lang w:eastAsia="en-AU"/>
        </w:rPr>
        <w:t>Contact:</w:t>
      </w:r>
      <w:r w:rsidR="008A745E" w:rsidRPr="000559F4">
        <w:rPr>
          <w:b/>
          <w:lang w:eastAsia="en-AU"/>
        </w:rPr>
        <w:t xml:space="preserve"> </w:t>
      </w:r>
      <w:r w:rsidR="00E527D0" w:rsidRPr="0030679D">
        <w:rPr>
          <w:b/>
          <w:lang w:eastAsia="en-AU"/>
        </w:rPr>
        <w:t>Iain Rush</w:t>
      </w:r>
    </w:p>
    <w:p w14:paraId="041B9546" w14:textId="164E152D" w:rsidR="000559F4" w:rsidRPr="0030679D" w:rsidRDefault="00E527D0" w:rsidP="000559F4">
      <w:pPr>
        <w:spacing w:after="120"/>
        <w:jc w:val="right"/>
      </w:pPr>
      <w:r w:rsidRPr="0030679D">
        <w:t xml:space="preserve">Senior </w:t>
      </w:r>
      <w:r w:rsidR="00887956" w:rsidRPr="0030679D">
        <w:t>Strategic Planner</w:t>
      </w:r>
    </w:p>
    <w:p w14:paraId="313A5D25" w14:textId="0CBE73BE" w:rsidR="000559F4" w:rsidRPr="0030679D" w:rsidRDefault="000C459D" w:rsidP="000559F4">
      <w:pPr>
        <w:spacing w:after="120"/>
        <w:jc w:val="right"/>
        <w:rPr>
          <w:lang w:eastAsia="en-AU"/>
        </w:rPr>
      </w:pPr>
      <w:r w:rsidRPr="0030679D">
        <w:rPr>
          <w:b/>
          <w:lang w:eastAsia="en-AU"/>
        </w:rPr>
        <w:t>Telephone:</w:t>
      </w:r>
      <w:r w:rsidRPr="0030679D">
        <w:rPr>
          <w:lang w:eastAsia="en-AU"/>
        </w:rPr>
        <w:t xml:space="preserve"> 02 4993 </w:t>
      </w:r>
      <w:r w:rsidR="009206F2" w:rsidRPr="0030679D">
        <w:rPr>
          <w:lang w:eastAsia="en-AU"/>
        </w:rPr>
        <w:t>41</w:t>
      </w:r>
      <w:r w:rsidR="00E527D0" w:rsidRPr="0030679D">
        <w:rPr>
          <w:lang w:eastAsia="en-AU"/>
        </w:rPr>
        <w:t>55</w:t>
      </w:r>
    </w:p>
    <w:p w14:paraId="27142F8E" w14:textId="42D4AB69" w:rsidR="000C459D" w:rsidRDefault="000C459D" w:rsidP="000559F4">
      <w:pPr>
        <w:jc w:val="right"/>
        <w:rPr>
          <w:b/>
          <w:lang w:eastAsia="en-AU"/>
        </w:rPr>
      </w:pPr>
      <w:r w:rsidRPr="0030679D">
        <w:rPr>
          <w:b/>
          <w:lang w:eastAsia="en-AU"/>
        </w:rPr>
        <w:t xml:space="preserve">Email: </w:t>
      </w:r>
      <w:r w:rsidR="00E527D0" w:rsidRPr="0030679D">
        <w:rPr>
          <w:rStyle w:val="Hyperlink"/>
          <w:sz w:val="24"/>
          <w:szCs w:val="24"/>
        </w:rPr>
        <w:t>iain.rush</w:t>
      </w:r>
      <w:r w:rsidR="009206F2" w:rsidRPr="0030679D">
        <w:rPr>
          <w:rStyle w:val="Hyperlink"/>
          <w:sz w:val="24"/>
          <w:szCs w:val="24"/>
        </w:rPr>
        <w:t>@cessnock.nsw.gov.au</w:t>
      </w:r>
      <w:r w:rsidR="009206F2" w:rsidRPr="000559F4">
        <w:rPr>
          <w:b/>
          <w:lang w:eastAsia="en-AU"/>
        </w:rPr>
        <w:t xml:space="preserve"> </w:t>
      </w:r>
    </w:p>
    <w:p w14:paraId="082E3FA0" w14:textId="52C6E0C3" w:rsidR="004E492E" w:rsidRDefault="004E492E" w:rsidP="000559F4">
      <w:pPr>
        <w:jc w:val="right"/>
        <w:rPr>
          <w:b/>
          <w:lang w:eastAsia="en-AU"/>
        </w:rPr>
      </w:pPr>
    </w:p>
    <w:tbl>
      <w:tblPr>
        <w:tblStyle w:val="TableGrid"/>
        <w:tblW w:w="0" w:type="auto"/>
        <w:tblInd w:w="5640" w:type="dxa"/>
        <w:tblLook w:val="04A0" w:firstRow="1" w:lastRow="0" w:firstColumn="1" w:lastColumn="0" w:noHBand="0" w:noVBand="1"/>
      </w:tblPr>
      <w:tblGrid>
        <w:gridCol w:w="907"/>
        <w:gridCol w:w="2920"/>
        <w:gridCol w:w="987"/>
      </w:tblGrid>
      <w:tr w:rsidR="004E492E" w:rsidRPr="004E5509" w14:paraId="65F6D6E0" w14:textId="77777777" w:rsidTr="004E492E">
        <w:tc>
          <w:tcPr>
            <w:tcW w:w="4814" w:type="dxa"/>
            <w:gridSpan w:val="3"/>
            <w:tcBorders>
              <w:top w:val="nil"/>
              <w:left w:val="nil"/>
              <w:bottom w:val="single" w:sz="4" w:space="0" w:color="auto"/>
              <w:right w:val="nil"/>
            </w:tcBorders>
          </w:tcPr>
          <w:p w14:paraId="03E792C9" w14:textId="77777777" w:rsidR="004E492E" w:rsidRPr="004E5509" w:rsidRDefault="004E492E" w:rsidP="004E492E">
            <w:pPr>
              <w:spacing w:after="0"/>
              <w:rPr>
                <w:b/>
                <w:sz w:val="18"/>
                <w:szCs w:val="18"/>
                <w:lang w:eastAsia="en-AU"/>
              </w:rPr>
            </w:pPr>
            <w:r w:rsidRPr="004E5509">
              <w:rPr>
                <w:b/>
                <w:sz w:val="18"/>
                <w:szCs w:val="18"/>
                <w:lang w:eastAsia="en-AU"/>
              </w:rPr>
              <w:t>Revision History</w:t>
            </w:r>
          </w:p>
        </w:tc>
      </w:tr>
      <w:tr w:rsidR="004E492E" w:rsidRPr="004E5509" w14:paraId="77D652B4" w14:textId="77777777" w:rsidTr="004E492E">
        <w:tc>
          <w:tcPr>
            <w:tcW w:w="907" w:type="dxa"/>
            <w:tcBorders>
              <w:top w:val="single" w:sz="4" w:space="0" w:color="auto"/>
            </w:tcBorders>
          </w:tcPr>
          <w:p w14:paraId="499E2F82" w14:textId="77777777" w:rsidR="004E492E" w:rsidRPr="004E5509" w:rsidRDefault="004E492E" w:rsidP="004E492E">
            <w:pPr>
              <w:spacing w:after="0"/>
              <w:jc w:val="center"/>
              <w:rPr>
                <w:sz w:val="18"/>
                <w:szCs w:val="18"/>
                <w:lang w:eastAsia="en-AU"/>
              </w:rPr>
            </w:pPr>
            <w:r w:rsidRPr="004E5509">
              <w:rPr>
                <w:sz w:val="18"/>
                <w:szCs w:val="18"/>
                <w:lang w:eastAsia="en-AU"/>
              </w:rPr>
              <w:t>Revision</w:t>
            </w:r>
          </w:p>
        </w:tc>
        <w:tc>
          <w:tcPr>
            <w:tcW w:w="2920" w:type="dxa"/>
            <w:tcBorders>
              <w:top w:val="single" w:sz="4" w:space="0" w:color="auto"/>
            </w:tcBorders>
          </w:tcPr>
          <w:p w14:paraId="549169CA" w14:textId="77777777" w:rsidR="004E492E" w:rsidRPr="004E5509" w:rsidRDefault="004E492E" w:rsidP="004E492E">
            <w:pPr>
              <w:spacing w:after="0"/>
              <w:rPr>
                <w:sz w:val="18"/>
                <w:szCs w:val="18"/>
                <w:lang w:eastAsia="en-AU"/>
              </w:rPr>
            </w:pPr>
            <w:r>
              <w:rPr>
                <w:sz w:val="18"/>
                <w:szCs w:val="18"/>
                <w:lang w:eastAsia="en-AU"/>
              </w:rPr>
              <w:t>Description</w:t>
            </w:r>
          </w:p>
        </w:tc>
        <w:tc>
          <w:tcPr>
            <w:tcW w:w="987" w:type="dxa"/>
            <w:tcBorders>
              <w:top w:val="single" w:sz="4" w:space="0" w:color="auto"/>
            </w:tcBorders>
          </w:tcPr>
          <w:p w14:paraId="699442DF" w14:textId="77777777" w:rsidR="004E492E" w:rsidRPr="004E5509" w:rsidRDefault="004E492E" w:rsidP="004E492E">
            <w:pPr>
              <w:spacing w:after="0"/>
              <w:jc w:val="center"/>
              <w:rPr>
                <w:sz w:val="18"/>
                <w:szCs w:val="18"/>
                <w:lang w:eastAsia="en-AU"/>
              </w:rPr>
            </w:pPr>
            <w:r w:rsidRPr="004E5509">
              <w:rPr>
                <w:sz w:val="18"/>
                <w:szCs w:val="18"/>
                <w:lang w:eastAsia="en-AU"/>
              </w:rPr>
              <w:t>Date</w:t>
            </w:r>
          </w:p>
        </w:tc>
      </w:tr>
      <w:tr w:rsidR="004E492E" w:rsidRPr="004E5509" w14:paraId="2C8F8F39" w14:textId="77777777" w:rsidTr="004E492E">
        <w:trPr>
          <w:trHeight w:val="121"/>
        </w:trPr>
        <w:tc>
          <w:tcPr>
            <w:tcW w:w="907" w:type="dxa"/>
          </w:tcPr>
          <w:p w14:paraId="742FC098" w14:textId="77777777" w:rsidR="004E492E" w:rsidRPr="004E5509" w:rsidRDefault="004E492E" w:rsidP="004E492E">
            <w:pPr>
              <w:spacing w:after="0"/>
              <w:jc w:val="center"/>
              <w:rPr>
                <w:sz w:val="18"/>
                <w:szCs w:val="18"/>
                <w:lang w:eastAsia="en-AU"/>
              </w:rPr>
            </w:pPr>
            <w:r>
              <w:rPr>
                <w:sz w:val="18"/>
                <w:szCs w:val="18"/>
                <w:lang w:eastAsia="en-AU"/>
              </w:rPr>
              <w:t>1</w:t>
            </w:r>
          </w:p>
        </w:tc>
        <w:tc>
          <w:tcPr>
            <w:tcW w:w="2920" w:type="dxa"/>
          </w:tcPr>
          <w:p w14:paraId="66FC7523" w14:textId="4EA96238" w:rsidR="004E492E" w:rsidRPr="004E5509" w:rsidRDefault="00E527D0" w:rsidP="004E492E">
            <w:pPr>
              <w:spacing w:after="0"/>
              <w:rPr>
                <w:sz w:val="18"/>
                <w:szCs w:val="18"/>
                <w:lang w:eastAsia="en-AU"/>
              </w:rPr>
            </w:pPr>
            <w:r>
              <w:rPr>
                <w:sz w:val="18"/>
                <w:szCs w:val="18"/>
                <w:lang w:eastAsia="en-AU"/>
              </w:rPr>
              <w:t>Final for Lodgement</w:t>
            </w:r>
          </w:p>
        </w:tc>
        <w:tc>
          <w:tcPr>
            <w:tcW w:w="987" w:type="dxa"/>
          </w:tcPr>
          <w:p w14:paraId="7E26AB88" w14:textId="4794530C" w:rsidR="004E492E" w:rsidRPr="004E5509" w:rsidRDefault="00E527D0" w:rsidP="00602E8C">
            <w:pPr>
              <w:spacing w:after="0"/>
              <w:rPr>
                <w:sz w:val="18"/>
                <w:szCs w:val="18"/>
                <w:lang w:eastAsia="en-AU"/>
              </w:rPr>
            </w:pPr>
            <w:r>
              <w:rPr>
                <w:sz w:val="18"/>
                <w:szCs w:val="18"/>
                <w:lang w:eastAsia="en-AU"/>
              </w:rPr>
              <w:t>1</w:t>
            </w:r>
            <w:r w:rsidR="00602E8C">
              <w:rPr>
                <w:sz w:val="18"/>
                <w:szCs w:val="18"/>
                <w:lang w:eastAsia="en-AU"/>
              </w:rPr>
              <w:t>9</w:t>
            </w:r>
            <w:r>
              <w:rPr>
                <w:sz w:val="18"/>
                <w:szCs w:val="18"/>
                <w:lang w:eastAsia="en-AU"/>
              </w:rPr>
              <w:t>.08.21</w:t>
            </w:r>
          </w:p>
        </w:tc>
      </w:tr>
      <w:tr w:rsidR="004E492E" w:rsidRPr="004E5509" w14:paraId="52D7BF6B" w14:textId="77777777" w:rsidTr="004E492E">
        <w:trPr>
          <w:trHeight w:val="121"/>
        </w:trPr>
        <w:tc>
          <w:tcPr>
            <w:tcW w:w="907" w:type="dxa"/>
          </w:tcPr>
          <w:p w14:paraId="1A763947" w14:textId="0B9F73F4" w:rsidR="004E492E" w:rsidRPr="004E5509" w:rsidRDefault="004E492E" w:rsidP="004E492E">
            <w:pPr>
              <w:spacing w:after="0"/>
              <w:jc w:val="center"/>
              <w:rPr>
                <w:sz w:val="18"/>
                <w:szCs w:val="18"/>
                <w:lang w:eastAsia="en-AU"/>
              </w:rPr>
            </w:pPr>
          </w:p>
        </w:tc>
        <w:tc>
          <w:tcPr>
            <w:tcW w:w="2920" w:type="dxa"/>
          </w:tcPr>
          <w:p w14:paraId="44801BC7" w14:textId="6CB58AEC" w:rsidR="004E492E" w:rsidRPr="004E5509" w:rsidRDefault="004E492E" w:rsidP="004E492E">
            <w:pPr>
              <w:spacing w:after="0"/>
              <w:rPr>
                <w:sz w:val="18"/>
                <w:szCs w:val="18"/>
                <w:lang w:eastAsia="en-AU"/>
              </w:rPr>
            </w:pPr>
          </w:p>
        </w:tc>
        <w:tc>
          <w:tcPr>
            <w:tcW w:w="987" w:type="dxa"/>
          </w:tcPr>
          <w:p w14:paraId="01B689F9" w14:textId="0C4C7873" w:rsidR="004E492E" w:rsidRPr="004E5509" w:rsidRDefault="004E492E" w:rsidP="004E492E">
            <w:pPr>
              <w:spacing w:after="0"/>
              <w:rPr>
                <w:sz w:val="18"/>
                <w:szCs w:val="18"/>
                <w:lang w:eastAsia="en-AU"/>
              </w:rPr>
            </w:pPr>
          </w:p>
        </w:tc>
      </w:tr>
    </w:tbl>
    <w:p w14:paraId="5573B50B" w14:textId="1250DBF2" w:rsidR="00E527D0" w:rsidRDefault="00E527D0"/>
    <w:p w14:paraId="2D3D138C" w14:textId="3D3372AF" w:rsidR="002D59F9" w:rsidRPr="003B62B8" w:rsidRDefault="00BE7AC0" w:rsidP="003B62B8">
      <w:pPr>
        <w:pStyle w:val="Heading7"/>
      </w:pPr>
      <w:r>
        <w:lastRenderedPageBreak/>
        <w:t>Table of Contents</w:t>
      </w:r>
    </w:p>
    <w:sdt>
      <w:sdtPr>
        <w:rPr>
          <w:szCs w:val="22"/>
          <w:lang w:eastAsia="en-US"/>
        </w:rPr>
        <w:id w:val="193889354"/>
        <w:docPartObj>
          <w:docPartGallery w:val="Table of Contents"/>
          <w:docPartUnique/>
        </w:docPartObj>
      </w:sdtPr>
      <w:sdtEndPr>
        <w:rPr>
          <w:b/>
          <w:bCs/>
          <w:noProof/>
        </w:rPr>
      </w:sdtEndPr>
      <w:sdtContent>
        <w:p w14:paraId="0AB5C65B" w14:textId="6F120AD4" w:rsidR="00CD1844" w:rsidRDefault="0010239C" w:rsidP="00CD1844">
          <w:pPr>
            <w:pStyle w:val="TOC1"/>
            <w:tabs>
              <w:tab w:val="clear" w:pos="9072"/>
              <w:tab w:val="right" w:leader="dot" w:pos="10466"/>
            </w:tabs>
            <w:rPr>
              <w:rFonts w:asciiTheme="minorHAnsi" w:eastAsiaTheme="minorEastAsia" w:hAnsiTheme="minorHAnsi" w:cstheme="minorBidi"/>
              <w:noProof/>
              <w:szCs w:val="22"/>
            </w:rPr>
          </w:pPr>
          <w:r>
            <w:rPr>
              <w:szCs w:val="22"/>
              <w:lang w:eastAsia="en-US"/>
            </w:rPr>
            <w:fldChar w:fldCharType="begin"/>
          </w:r>
          <w:r>
            <w:instrText xml:space="preserve"> TOC \o "1-3" \h \z \u </w:instrText>
          </w:r>
          <w:r>
            <w:rPr>
              <w:szCs w:val="22"/>
              <w:lang w:eastAsia="en-US"/>
            </w:rPr>
            <w:fldChar w:fldCharType="separate"/>
          </w:r>
          <w:hyperlink w:anchor="_Toc80259518" w:history="1">
            <w:r w:rsidR="00CD1844" w:rsidRPr="005C7865">
              <w:rPr>
                <w:rStyle w:val="Hyperlink"/>
                <w:noProof/>
              </w:rPr>
              <w:t>Part 1: Objectives and Outcomes</w:t>
            </w:r>
            <w:r w:rsidR="00CD1844">
              <w:rPr>
                <w:noProof/>
                <w:webHidden/>
              </w:rPr>
              <w:tab/>
            </w:r>
            <w:r w:rsidR="00CD1844">
              <w:rPr>
                <w:noProof/>
                <w:webHidden/>
              </w:rPr>
              <w:fldChar w:fldCharType="begin"/>
            </w:r>
            <w:r w:rsidR="00CD1844">
              <w:rPr>
                <w:noProof/>
                <w:webHidden/>
              </w:rPr>
              <w:instrText xml:space="preserve"> PAGEREF _Toc80259518 \h </w:instrText>
            </w:r>
            <w:r w:rsidR="00CD1844">
              <w:rPr>
                <w:noProof/>
                <w:webHidden/>
              </w:rPr>
            </w:r>
            <w:r w:rsidR="00CD1844">
              <w:rPr>
                <w:noProof/>
                <w:webHidden/>
              </w:rPr>
              <w:fldChar w:fldCharType="separate"/>
            </w:r>
            <w:r w:rsidR="00CD1844">
              <w:rPr>
                <w:noProof/>
                <w:webHidden/>
              </w:rPr>
              <w:t>3</w:t>
            </w:r>
            <w:r w:rsidR="00CD1844">
              <w:rPr>
                <w:noProof/>
                <w:webHidden/>
              </w:rPr>
              <w:fldChar w:fldCharType="end"/>
            </w:r>
          </w:hyperlink>
        </w:p>
        <w:p w14:paraId="7A874DBF" w14:textId="22FA96F0" w:rsidR="00CD1844" w:rsidRDefault="00DA63B1" w:rsidP="00CD1844">
          <w:pPr>
            <w:pStyle w:val="TOC1"/>
            <w:tabs>
              <w:tab w:val="clear" w:pos="9072"/>
              <w:tab w:val="right" w:leader="dot" w:pos="10466"/>
            </w:tabs>
            <w:rPr>
              <w:rFonts w:asciiTheme="minorHAnsi" w:eastAsiaTheme="minorEastAsia" w:hAnsiTheme="minorHAnsi" w:cstheme="minorBidi"/>
              <w:noProof/>
              <w:szCs w:val="22"/>
            </w:rPr>
          </w:pPr>
          <w:hyperlink w:anchor="_Toc80259519" w:history="1">
            <w:r w:rsidR="00CD1844" w:rsidRPr="005C7865">
              <w:rPr>
                <w:rStyle w:val="Hyperlink"/>
                <w:noProof/>
              </w:rPr>
              <w:t>Part 2: Explanation of Provisions</w:t>
            </w:r>
            <w:r w:rsidR="00CD1844">
              <w:rPr>
                <w:noProof/>
                <w:webHidden/>
              </w:rPr>
              <w:tab/>
            </w:r>
            <w:r w:rsidR="00CD1844">
              <w:rPr>
                <w:noProof/>
                <w:webHidden/>
              </w:rPr>
              <w:fldChar w:fldCharType="begin"/>
            </w:r>
            <w:r w:rsidR="00CD1844">
              <w:rPr>
                <w:noProof/>
                <w:webHidden/>
              </w:rPr>
              <w:instrText xml:space="preserve"> PAGEREF _Toc80259519 \h </w:instrText>
            </w:r>
            <w:r w:rsidR="00CD1844">
              <w:rPr>
                <w:noProof/>
                <w:webHidden/>
              </w:rPr>
            </w:r>
            <w:r w:rsidR="00CD1844">
              <w:rPr>
                <w:noProof/>
                <w:webHidden/>
              </w:rPr>
              <w:fldChar w:fldCharType="separate"/>
            </w:r>
            <w:r w:rsidR="00CD1844">
              <w:rPr>
                <w:noProof/>
                <w:webHidden/>
              </w:rPr>
              <w:t>4</w:t>
            </w:r>
            <w:r w:rsidR="00CD1844">
              <w:rPr>
                <w:noProof/>
                <w:webHidden/>
              </w:rPr>
              <w:fldChar w:fldCharType="end"/>
            </w:r>
          </w:hyperlink>
        </w:p>
        <w:p w14:paraId="33BE9D89" w14:textId="5D008C67" w:rsidR="00CD1844" w:rsidRDefault="00DA63B1" w:rsidP="00CD1844">
          <w:pPr>
            <w:pStyle w:val="TOC1"/>
            <w:tabs>
              <w:tab w:val="clear" w:pos="9072"/>
              <w:tab w:val="right" w:leader="dot" w:pos="10466"/>
            </w:tabs>
            <w:rPr>
              <w:rFonts w:asciiTheme="minorHAnsi" w:eastAsiaTheme="minorEastAsia" w:hAnsiTheme="minorHAnsi" w:cstheme="minorBidi"/>
              <w:noProof/>
              <w:szCs w:val="22"/>
            </w:rPr>
          </w:pPr>
          <w:hyperlink w:anchor="_Toc80259520" w:history="1">
            <w:r w:rsidR="00CD1844" w:rsidRPr="005C7865">
              <w:rPr>
                <w:rStyle w:val="Hyperlink"/>
                <w:noProof/>
              </w:rPr>
              <w:t>Part 3: Justification</w:t>
            </w:r>
            <w:r w:rsidR="00CD1844">
              <w:rPr>
                <w:noProof/>
                <w:webHidden/>
              </w:rPr>
              <w:tab/>
            </w:r>
            <w:r w:rsidR="00CD1844">
              <w:rPr>
                <w:noProof/>
                <w:webHidden/>
              </w:rPr>
              <w:fldChar w:fldCharType="begin"/>
            </w:r>
            <w:r w:rsidR="00CD1844">
              <w:rPr>
                <w:noProof/>
                <w:webHidden/>
              </w:rPr>
              <w:instrText xml:space="preserve"> PAGEREF _Toc80259520 \h </w:instrText>
            </w:r>
            <w:r w:rsidR="00CD1844">
              <w:rPr>
                <w:noProof/>
                <w:webHidden/>
              </w:rPr>
            </w:r>
            <w:r w:rsidR="00CD1844">
              <w:rPr>
                <w:noProof/>
                <w:webHidden/>
              </w:rPr>
              <w:fldChar w:fldCharType="separate"/>
            </w:r>
            <w:r w:rsidR="00CD1844">
              <w:rPr>
                <w:noProof/>
                <w:webHidden/>
              </w:rPr>
              <w:t>4</w:t>
            </w:r>
            <w:r w:rsidR="00CD1844">
              <w:rPr>
                <w:noProof/>
                <w:webHidden/>
              </w:rPr>
              <w:fldChar w:fldCharType="end"/>
            </w:r>
          </w:hyperlink>
        </w:p>
        <w:p w14:paraId="32AE6211" w14:textId="1AE49599" w:rsidR="00CD1844" w:rsidRDefault="00DA63B1" w:rsidP="00CD1844">
          <w:pPr>
            <w:pStyle w:val="TOC2"/>
            <w:tabs>
              <w:tab w:val="clear" w:pos="9072"/>
              <w:tab w:val="right" w:leader="dot" w:pos="10466"/>
            </w:tabs>
            <w:rPr>
              <w:rFonts w:asciiTheme="minorHAnsi" w:eastAsiaTheme="minorEastAsia" w:hAnsiTheme="minorHAnsi" w:cstheme="minorBidi"/>
              <w:lang w:eastAsia="en-AU"/>
            </w:rPr>
          </w:pPr>
          <w:hyperlink w:anchor="_Toc80259521" w:history="1">
            <w:r w:rsidR="00CD1844" w:rsidRPr="005C7865">
              <w:rPr>
                <w:rStyle w:val="Hyperlink"/>
              </w:rPr>
              <w:t>Section A: Need for Proposal</w:t>
            </w:r>
            <w:r w:rsidR="00CD1844">
              <w:rPr>
                <w:webHidden/>
              </w:rPr>
              <w:tab/>
            </w:r>
            <w:r w:rsidR="00CD1844">
              <w:rPr>
                <w:webHidden/>
              </w:rPr>
              <w:fldChar w:fldCharType="begin"/>
            </w:r>
            <w:r w:rsidR="00CD1844">
              <w:rPr>
                <w:webHidden/>
              </w:rPr>
              <w:instrText xml:space="preserve"> PAGEREF _Toc80259521 \h </w:instrText>
            </w:r>
            <w:r w:rsidR="00CD1844">
              <w:rPr>
                <w:webHidden/>
              </w:rPr>
            </w:r>
            <w:r w:rsidR="00CD1844">
              <w:rPr>
                <w:webHidden/>
              </w:rPr>
              <w:fldChar w:fldCharType="separate"/>
            </w:r>
            <w:r w:rsidR="00CD1844">
              <w:rPr>
                <w:webHidden/>
              </w:rPr>
              <w:t>4</w:t>
            </w:r>
            <w:r w:rsidR="00CD1844">
              <w:rPr>
                <w:webHidden/>
              </w:rPr>
              <w:fldChar w:fldCharType="end"/>
            </w:r>
          </w:hyperlink>
        </w:p>
        <w:p w14:paraId="66F50316" w14:textId="24BF3FD7" w:rsidR="00CD1844" w:rsidRDefault="00DA63B1" w:rsidP="00CD1844">
          <w:pPr>
            <w:pStyle w:val="TOC3"/>
            <w:tabs>
              <w:tab w:val="clear" w:pos="9062"/>
              <w:tab w:val="right" w:leader="dot" w:pos="10466"/>
            </w:tabs>
            <w:rPr>
              <w:rFonts w:asciiTheme="minorHAnsi" w:eastAsiaTheme="minorEastAsia" w:hAnsiTheme="minorHAnsi" w:cstheme="minorBidi"/>
              <w:noProof/>
              <w:lang w:eastAsia="en-AU"/>
            </w:rPr>
          </w:pPr>
          <w:hyperlink w:anchor="_Toc80259522" w:history="1">
            <w:r w:rsidR="00CD1844" w:rsidRPr="005C7865">
              <w:rPr>
                <w:rStyle w:val="Hyperlink"/>
                <w:noProof/>
                <w14:scene3d>
                  <w14:camera w14:prst="orthographicFront"/>
                  <w14:lightRig w14:rig="threePt" w14:dir="t">
                    <w14:rot w14:lat="0" w14:lon="0" w14:rev="0"/>
                  </w14:lightRig>
                </w14:scene3d>
              </w:rPr>
              <w:t>1</w:t>
            </w:r>
            <w:r w:rsidR="00CD1844">
              <w:rPr>
                <w:rFonts w:asciiTheme="minorHAnsi" w:eastAsiaTheme="minorEastAsia" w:hAnsiTheme="minorHAnsi" w:cstheme="minorBidi"/>
                <w:noProof/>
                <w:lang w:eastAsia="en-AU"/>
              </w:rPr>
              <w:tab/>
            </w:r>
            <w:r w:rsidR="00CD1844" w:rsidRPr="005C7865">
              <w:rPr>
                <w:rStyle w:val="Hyperlink"/>
                <w:noProof/>
              </w:rPr>
              <w:t>Resulting from a Strategic Study or Report</w:t>
            </w:r>
            <w:r w:rsidR="00CD1844">
              <w:rPr>
                <w:noProof/>
                <w:webHidden/>
              </w:rPr>
              <w:tab/>
            </w:r>
            <w:r w:rsidR="00CD1844">
              <w:rPr>
                <w:noProof/>
                <w:webHidden/>
              </w:rPr>
              <w:fldChar w:fldCharType="begin"/>
            </w:r>
            <w:r w:rsidR="00CD1844">
              <w:rPr>
                <w:noProof/>
                <w:webHidden/>
              </w:rPr>
              <w:instrText xml:space="preserve"> PAGEREF _Toc80259522 \h </w:instrText>
            </w:r>
            <w:r w:rsidR="00CD1844">
              <w:rPr>
                <w:noProof/>
                <w:webHidden/>
              </w:rPr>
            </w:r>
            <w:r w:rsidR="00CD1844">
              <w:rPr>
                <w:noProof/>
                <w:webHidden/>
              </w:rPr>
              <w:fldChar w:fldCharType="separate"/>
            </w:r>
            <w:r w:rsidR="00CD1844">
              <w:rPr>
                <w:noProof/>
                <w:webHidden/>
              </w:rPr>
              <w:t>4</w:t>
            </w:r>
            <w:r w:rsidR="00CD1844">
              <w:rPr>
                <w:noProof/>
                <w:webHidden/>
              </w:rPr>
              <w:fldChar w:fldCharType="end"/>
            </w:r>
          </w:hyperlink>
        </w:p>
        <w:p w14:paraId="608445D2" w14:textId="31A69893" w:rsidR="00CD1844" w:rsidRDefault="00DA63B1" w:rsidP="00CD1844">
          <w:pPr>
            <w:pStyle w:val="TOC3"/>
            <w:tabs>
              <w:tab w:val="clear" w:pos="9062"/>
              <w:tab w:val="right" w:leader="dot" w:pos="10466"/>
            </w:tabs>
            <w:rPr>
              <w:rFonts w:asciiTheme="minorHAnsi" w:eastAsiaTheme="minorEastAsia" w:hAnsiTheme="minorHAnsi" w:cstheme="minorBidi"/>
              <w:noProof/>
              <w:lang w:eastAsia="en-AU"/>
            </w:rPr>
          </w:pPr>
          <w:hyperlink w:anchor="_Toc80259523" w:history="1">
            <w:r w:rsidR="00CD1844" w:rsidRPr="005C7865">
              <w:rPr>
                <w:rStyle w:val="Hyperlink"/>
                <w:noProof/>
                <w14:scene3d>
                  <w14:camera w14:prst="orthographicFront"/>
                  <w14:lightRig w14:rig="threePt" w14:dir="t">
                    <w14:rot w14:lat="0" w14:lon="0" w14:rev="0"/>
                  </w14:lightRig>
                </w14:scene3d>
              </w:rPr>
              <w:t>2</w:t>
            </w:r>
            <w:r w:rsidR="00CD1844">
              <w:rPr>
                <w:rFonts w:asciiTheme="minorHAnsi" w:eastAsiaTheme="minorEastAsia" w:hAnsiTheme="minorHAnsi" w:cstheme="minorBidi"/>
                <w:noProof/>
                <w:lang w:eastAsia="en-AU"/>
              </w:rPr>
              <w:tab/>
            </w:r>
            <w:r w:rsidR="00CD1844" w:rsidRPr="005C7865">
              <w:rPr>
                <w:rStyle w:val="Hyperlink"/>
                <w:noProof/>
              </w:rPr>
              <w:t>Planning Proposal as best way to achieve the objectives</w:t>
            </w:r>
            <w:r w:rsidR="00CD1844">
              <w:rPr>
                <w:noProof/>
                <w:webHidden/>
              </w:rPr>
              <w:tab/>
            </w:r>
            <w:r w:rsidR="00CD1844">
              <w:rPr>
                <w:noProof/>
                <w:webHidden/>
              </w:rPr>
              <w:fldChar w:fldCharType="begin"/>
            </w:r>
            <w:r w:rsidR="00CD1844">
              <w:rPr>
                <w:noProof/>
                <w:webHidden/>
              </w:rPr>
              <w:instrText xml:space="preserve"> PAGEREF _Toc80259523 \h </w:instrText>
            </w:r>
            <w:r w:rsidR="00CD1844">
              <w:rPr>
                <w:noProof/>
                <w:webHidden/>
              </w:rPr>
            </w:r>
            <w:r w:rsidR="00CD1844">
              <w:rPr>
                <w:noProof/>
                <w:webHidden/>
              </w:rPr>
              <w:fldChar w:fldCharType="separate"/>
            </w:r>
            <w:r w:rsidR="00CD1844">
              <w:rPr>
                <w:noProof/>
                <w:webHidden/>
              </w:rPr>
              <w:t>4</w:t>
            </w:r>
            <w:r w:rsidR="00CD1844">
              <w:rPr>
                <w:noProof/>
                <w:webHidden/>
              </w:rPr>
              <w:fldChar w:fldCharType="end"/>
            </w:r>
          </w:hyperlink>
        </w:p>
        <w:p w14:paraId="4D777988" w14:textId="0C38E849" w:rsidR="00CD1844" w:rsidRDefault="00DA63B1" w:rsidP="00CD1844">
          <w:pPr>
            <w:pStyle w:val="TOC2"/>
            <w:tabs>
              <w:tab w:val="clear" w:pos="9072"/>
              <w:tab w:val="right" w:leader="dot" w:pos="10466"/>
            </w:tabs>
            <w:rPr>
              <w:rFonts w:asciiTheme="minorHAnsi" w:eastAsiaTheme="minorEastAsia" w:hAnsiTheme="minorHAnsi" w:cstheme="minorBidi"/>
              <w:lang w:eastAsia="en-AU"/>
            </w:rPr>
          </w:pPr>
          <w:hyperlink w:anchor="_Toc80259524" w:history="1">
            <w:r w:rsidR="00CD1844" w:rsidRPr="005C7865">
              <w:rPr>
                <w:rStyle w:val="Hyperlink"/>
              </w:rPr>
              <w:t>Section B: Relationship to Strategic Planning Framework</w:t>
            </w:r>
            <w:r w:rsidR="00CD1844">
              <w:rPr>
                <w:webHidden/>
              </w:rPr>
              <w:tab/>
            </w:r>
            <w:r w:rsidR="00CD1844">
              <w:rPr>
                <w:webHidden/>
              </w:rPr>
              <w:fldChar w:fldCharType="begin"/>
            </w:r>
            <w:r w:rsidR="00CD1844">
              <w:rPr>
                <w:webHidden/>
              </w:rPr>
              <w:instrText xml:space="preserve"> PAGEREF _Toc80259524 \h </w:instrText>
            </w:r>
            <w:r w:rsidR="00CD1844">
              <w:rPr>
                <w:webHidden/>
              </w:rPr>
            </w:r>
            <w:r w:rsidR="00CD1844">
              <w:rPr>
                <w:webHidden/>
              </w:rPr>
              <w:fldChar w:fldCharType="separate"/>
            </w:r>
            <w:r w:rsidR="00CD1844">
              <w:rPr>
                <w:webHidden/>
              </w:rPr>
              <w:t>5</w:t>
            </w:r>
            <w:r w:rsidR="00CD1844">
              <w:rPr>
                <w:webHidden/>
              </w:rPr>
              <w:fldChar w:fldCharType="end"/>
            </w:r>
          </w:hyperlink>
        </w:p>
        <w:p w14:paraId="7B7E33FD" w14:textId="03E65F98" w:rsidR="00CD1844" w:rsidRDefault="00DA63B1" w:rsidP="00CD1844">
          <w:pPr>
            <w:pStyle w:val="TOC3"/>
            <w:tabs>
              <w:tab w:val="clear" w:pos="9062"/>
              <w:tab w:val="right" w:leader="dot" w:pos="10466"/>
            </w:tabs>
            <w:rPr>
              <w:rFonts w:asciiTheme="minorHAnsi" w:eastAsiaTheme="minorEastAsia" w:hAnsiTheme="minorHAnsi" w:cstheme="minorBidi"/>
              <w:noProof/>
              <w:lang w:eastAsia="en-AU"/>
            </w:rPr>
          </w:pPr>
          <w:hyperlink w:anchor="_Toc80259525" w:history="1">
            <w:r w:rsidR="00CD1844" w:rsidRPr="005C7865">
              <w:rPr>
                <w:rStyle w:val="Hyperlink"/>
                <w:noProof/>
                <w14:scene3d>
                  <w14:camera w14:prst="orthographicFront"/>
                  <w14:lightRig w14:rig="threePt" w14:dir="t">
                    <w14:rot w14:lat="0" w14:lon="0" w14:rev="0"/>
                  </w14:lightRig>
                </w14:scene3d>
              </w:rPr>
              <w:t>3</w:t>
            </w:r>
            <w:r w:rsidR="00CD1844">
              <w:rPr>
                <w:rFonts w:asciiTheme="minorHAnsi" w:eastAsiaTheme="minorEastAsia" w:hAnsiTheme="minorHAnsi" w:cstheme="minorBidi"/>
                <w:noProof/>
                <w:lang w:eastAsia="en-AU"/>
              </w:rPr>
              <w:tab/>
            </w:r>
            <w:r w:rsidR="00CD1844" w:rsidRPr="005C7865">
              <w:rPr>
                <w:rStyle w:val="Hyperlink"/>
                <w:noProof/>
              </w:rPr>
              <w:t>Consistency with Objectives and Actions within Regional Strategies</w:t>
            </w:r>
            <w:r w:rsidR="00CD1844">
              <w:rPr>
                <w:noProof/>
                <w:webHidden/>
              </w:rPr>
              <w:tab/>
            </w:r>
            <w:r w:rsidR="00CD1844">
              <w:rPr>
                <w:noProof/>
                <w:webHidden/>
              </w:rPr>
              <w:fldChar w:fldCharType="begin"/>
            </w:r>
            <w:r w:rsidR="00CD1844">
              <w:rPr>
                <w:noProof/>
                <w:webHidden/>
              </w:rPr>
              <w:instrText xml:space="preserve"> PAGEREF _Toc80259525 \h </w:instrText>
            </w:r>
            <w:r w:rsidR="00CD1844">
              <w:rPr>
                <w:noProof/>
                <w:webHidden/>
              </w:rPr>
            </w:r>
            <w:r w:rsidR="00CD1844">
              <w:rPr>
                <w:noProof/>
                <w:webHidden/>
              </w:rPr>
              <w:fldChar w:fldCharType="separate"/>
            </w:r>
            <w:r w:rsidR="00CD1844">
              <w:rPr>
                <w:noProof/>
                <w:webHidden/>
              </w:rPr>
              <w:t>5</w:t>
            </w:r>
            <w:r w:rsidR="00CD1844">
              <w:rPr>
                <w:noProof/>
                <w:webHidden/>
              </w:rPr>
              <w:fldChar w:fldCharType="end"/>
            </w:r>
          </w:hyperlink>
        </w:p>
        <w:p w14:paraId="339D6C18" w14:textId="502316FC" w:rsidR="00CD1844" w:rsidRDefault="00DA63B1" w:rsidP="00CD1844">
          <w:pPr>
            <w:pStyle w:val="TOC3"/>
            <w:tabs>
              <w:tab w:val="clear" w:pos="9062"/>
              <w:tab w:val="right" w:leader="dot" w:pos="10466"/>
            </w:tabs>
            <w:rPr>
              <w:rFonts w:asciiTheme="minorHAnsi" w:eastAsiaTheme="minorEastAsia" w:hAnsiTheme="minorHAnsi" w:cstheme="minorBidi"/>
              <w:noProof/>
              <w:lang w:eastAsia="en-AU"/>
            </w:rPr>
          </w:pPr>
          <w:hyperlink w:anchor="_Toc80259526" w:history="1">
            <w:r w:rsidR="00CD1844" w:rsidRPr="005C7865">
              <w:rPr>
                <w:rStyle w:val="Hyperlink"/>
                <w:noProof/>
                <w14:scene3d>
                  <w14:camera w14:prst="orthographicFront"/>
                  <w14:lightRig w14:rig="threePt" w14:dir="t">
                    <w14:rot w14:lat="0" w14:lon="0" w14:rev="0"/>
                  </w14:lightRig>
                </w14:scene3d>
              </w:rPr>
              <w:t>4</w:t>
            </w:r>
            <w:r w:rsidR="00CD1844">
              <w:rPr>
                <w:rFonts w:asciiTheme="minorHAnsi" w:eastAsiaTheme="minorEastAsia" w:hAnsiTheme="minorHAnsi" w:cstheme="minorBidi"/>
                <w:noProof/>
                <w:lang w:eastAsia="en-AU"/>
              </w:rPr>
              <w:tab/>
            </w:r>
            <w:r w:rsidR="00CD1844" w:rsidRPr="005C7865">
              <w:rPr>
                <w:rStyle w:val="Hyperlink"/>
                <w:noProof/>
              </w:rPr>
              <w:t>Consistency with Council’s Community Strategic Plan or other Local Strategic Plan</w:t>
            </w:r>
            <w:r w:rsidR="00CD1844">
              <w:rPr>
                <w:noProof/>
                <w:webHidden/>
              </w:rPr>
              <w:tab/>
            </w:r>
            <w:r w:rsidR="00CD1844">
              <w:rPr>
                <w:noProof/>
                <w:webHidden/>
              </w:rPr>
              <w:fldChar w:fldCharType="begin"/>
            </w:r>
            <w:r w:rsidR="00CD1844">
              <w:rPr>
                <w:noProof/>
                <w:webHidden/>
              </w:rPr>
              <w:instrText xml:space="preserve"> PAGEREF _Toc80259526 \h </w:instrText>
            </w:r>
            <w:r w:rsidR="00CD1844">
              <w:rPr>
                <w:noProof/>
                <w:webHidden/>
              </w:rPr>
            </w:r>
            <w:r w:rsidR="00CD1844">
              <w:rPr>
                <w:noProof/>
                <w:webHidden/>
              </w:rPr>
              <w:fldChar w:fldCharType="separate"/>
            </w:r>
            <w:r w:rsidR="00CD1844">
              <w:rPr>
                <w:noProof/>
                <w:webHidden/>
              </w:rPr>
              <w:t>5</w:t>
            </w:r>
            <w:r w:rsidR="00CD1844">
              <w:rPr>
                <w:noProof/>
                <w:webHidden/>
              </w:rPr>
              <w:fldChar w:fldCharType="end"/>
            </w:r>
          </w:hyperlink>
        </w:p>
        <w:p w14:paraId="39489FDF" w14:textId="1E2A5D7E" w:rsidR="00CD1844" w:rsidRDefault="00DA63B1" w:rsidP="00CD1844">
          <w:pPr>
            <w:pStyle w:val="TOC3"/>
            <w:tabs>
              <w:tab w:val="clear" w:pos="9062"/>
              <w:tab w:val="right" w:leader="dot" w:pos="10466"/>
            </w:tabs>
            <w:rPr>
              <w:rFonts w:asciiTheme="minorHAnsi" w:eastAsiaTheme="minorEastAsia" w:hAnsiTheme="minorHAnsi" w:cstheme="minorBidi"/>
              <w:noProof/>
              <w:lang w:eastAsia="en-AU"/>
            </w:rPr>
          </w:pPr>
          <w:hyperlink w:anchor="_Toc80259527" w:history="1">
            <w:r w:rsidR="00CD1844" w:rsidRPr="005C7865">
              <w:rPr>
                <w:rStyle w:val="Hyperlink"/>
                <w:noProof/>
                <w14:scene3d>
                  <w14:camera w14:prst="orthographicFront"/>
                  <w14:lightRig w14:rig="threePt" w14:dir="t">
                    <w14:rot w14:lat="0" w14:lon="0" w14:rev="0"/>
                  </w14:lightRig>
                </w14:scene3d>
              </w:rPr>
              <w:t>5</w:t>
            </w:r>
            <w:r w:rsidR="00CD1844">
              <w:rPr>
                <w:rFonts w:asciiTheme="minorHAnsi" w:eastAsiaTheme="minorEastAsia" w:hAnsiTheme="minorHAnsi" w:cstheme="minorBidi"/>
                <w:noProof/>
                <w:lang w:eastAsia="en-AU"/>
              </w:rPr>
              <w:tab/>
            </w:r>
            <w:r w:rsidR="00CD1844" w:rsidRPr="005C7865">
              <w:rPr>
                <w:rStyle w:val="Hyperlink"/>
                <w:noProof/>
              </w:rPr>
              <w:t>Consistency with State Environmental Planning Policies</w:t>
            </w:r>
            <w:r w:rsidR="00CD1844">
              <w:rPr>
                <w:noProof/>
                <w:webHidden/>
              </w:rPr>
              <w:tab/>
            </w:r>
            <w:r w:rsidR="00CD1844">
              <w:rPr>
                <w:noProof/>
                <w:webHidden/>
              </w:rPr>
              <w:fldChar w:fldCharType="begin"/>
            </w:r>
            <w:r w:rsidR="00CD1844">
              <w:rPr>
                <w:noProof/>
                <w:webHidden/>
              </w:rPr>
              <w:instrText xml:space="preserve"> PAGEREF _Toc80259527 \h </w:instrText>
            </w:r>
            <w:r w:rsidR="00CD1844">
              <w:rPr>
                <w:noProof/>
                <w:webHidden/>
              </w:rPr>
            </w:r>
            <w:r w:rsidR="00CD1844">
              <w:rPr>
                <w:noProof/>
                <w:webHidden/>
              </w:rPr>
              <w:fldChar w:fldCharType="separate"/>
            </w:r>
            <w:r w:rsidR="00CD1844">
              <w:rPr>
                <w:noProof/>
                <w:webHidden/>
              </w:rPr>
              <w:t>6</w:t>
            </w:r>
            <w:r w:rsidR="00CD1844">
              <w:rPr>
                <w:noProof/>
                <w:webHidden/>
              </w:rPr>
              <w:fldChar w:fldCharType="end"/>
            </w:r>
          </w:hyperlink>
        </w:p>
        <w:p w14:paraId="322A0EF8" w14:textId="4DACE8D0" w:rsidR="00CD1844" w:rsidRDefault="00DA63B1" w:rsidP="00CD1844">
          <w:pPr>
            <w:pStyle w:val="TOC3"/>
            <w:tabs>
              <w:tab w:val="clear" w:pos="9062"/>
              <w:tab w:val="right" w:leader="dot" w:pos="10466"/>
            </w:tabs>
            <w:rPr>
              <w:rFonts w:asciiTheme="minorHAnsi" w:eastAsiaTheme="minorEastAsia" w:hAnsiTheme="minorHAnsi" w:cstheme="minorBidi"/>
              <w:noProof/>
              <w:lang w:eastAsia="en-AU"/>
            </w:rPr>
          </w:pPr>
          <w:hyperlink w:anchor="_Toc80259528" w:history="1">
            <w:r w:rsidR="00CD1844" w:rsidRPr="005C7865">
              <w:rPr>
                <w:rStyle w:val="Hyperlink"/>
                <w:noProof/>
                <w14:scene3d>
                  <w14:camera w14:prst="orthographicFront"/>
                  <w14:lightRig w14:rig="threePt" w14:dir="t">
                    <w14:rot w14:lat="0" w14:lon="0" w14:rev="0"/>
                  </w14:lightRig>
                </w14:scene3d>
              </w:rPr>
              <w:t>6</w:t>
            </w:r>
            <w:r w:rsidR="00CD1844">
              <w:rPr>
                <w:rFonts w:asciiTheme="minorHAnsi" w:eastAsiaTheme="minorEastAsia" w:hAnsiTheme="minorHAnsi" w:cstheme="minorBidi"/>
                <w:noProof/>
                <w:lang w:eastAsia="en-AU"/>
              </w:rPr>
              <w:tab/>
            </w:r>
            <w:r w:rsidR="00CD1844" w:rsidRPr="005C7865">
              <w:rPr>
                <w:rStyle w:val="Hyperlink"/>
                <w:noProof/>
              </w:rPr>
              <w:t>Consistency with Section 9.1 Ministerial Directions for Local Plan Making</w:t>
            </w:r>
            <w:r w:rsidR="00CD1844">
              <w:rPr>
                <w:noProof/>
                <w:webHidden/>
              </w:rPr>
              <w:tab/>
            </w:r>
            <w:r w:rsidR="00CD1844">
              <w:rPr>
                <w:noProof/>
                <w:webHidden/>
              </w:rPr>
              <w:fldChar w:fldCharType="begin"/>
            </w:r>
            <w:r w:rsidR="00CD1844">
              <w:rPr>
                <w:noProof/>
                <w:webHidden/>
              </w:rPr>
              <w:instrText xml:space="preserve"> PAGEREF _Toc80259528 \h </w:instrText>
            </w:r>
            <w:r w:rsidR="00CD1844">
              <w:rPr>
                <w:noProof/>
                <w:webHidden/>
              </w:rPr>
            </w:r>
            <w:r w:rsidR="00CD1844">
              <w:rPr>
                <w:noProof/>
                <w:webHidden/>
              </w:rPr>
              <w:fldChar w:fldCharType="separate"/>
            </w:r>
            <w:r w:rsidR="00CD1844">
              <w:rPr>
                <w:noProof/>
                <w:webHidden/>
              </w:rPr>
              <w:t>10</w:t>
            </w:r>
            <w:r w:rsidR="00CD1844">
              <w:rPr>
                <w:noProof/>
                <w:webHidden/>
              </w:rPr>
              <w:fldChar w:fldCharType="end"/>
            </w:r>
          </w:hyperlink>
        </w:p>
        <w:p w14:paraId="128D1B96" w14:textId="72F6F936" w:rsidR="00CD1844" w:rsidRDefault="00DA63B1" w:rsidP="00CD1844">
          <w:pPr>
            <w:pStyle w:val="TOC2"/>
            <w:tabs>
              <w:tab w:val="clear" w:pos="9072"/>
              <w:tab w:val="right" w:leader="dot" w:pos="10466"/>
            </w:tabs>
            <w:rPr>
              <w:rFonts w:asciiTheme="minorHAnsi" w:eastAsiaTheme="minorEastAsia" w:hAnsiTheme="minorHAnsi" w:cstheme="minorBidi"/>
              <w:lang w:eastAsia="en-AU"/>
            </w:rPr>
          </w:pPr>
          <w:hyperlink w:anchor="_Toc80259529" w:history="1">
            <w:r w:rsidR="00CD1844" w:rsidRPr="005C7865">
              <w:rPr>
                <w:rStyle w:val="Hyperlink"/>
              </w:rPr>
              <w:t>Section C: Environmental, Social and Economic Impact</w:t>
            </w:r>
            <w:r w:rsidR="00CD1844">
              <w:rPr>
                <w:webHidden/>
              </w:rPr>
              <w:tab/>
            </w:r>
            <w:r w:rsidR="00CD1844">
              <w:rPr>
                <w:webHidden/>
              </w:rPr>
              <w:fldChar w:fldCharType="begin"/>
            </w:r>
            <w:r w:rsidR="00CD1844">
              <w:rPr>
                <w:webHidden/>
              </w:rPr>
              <w:instrText xml:space="preserve"> PAGEREF _Toc80259529 \h </w:instrText>
            </w:r>
            <w:r w:rsidR="00CD1844">
              <w:rPr>
                <w:webHidden/>
              </w:rPr>
            </w:r>
            <w:r w:rsidR="00CD1844">
              <w:rPr>
                <w:webHidden/>
              </w:rPr>
              <w:fldChar w:fldCharType="separate"/>
            </w:r>
            <w:r w:rsidR="00CD1844">
              <w:rPr>
                <w:webHidden/>
              </w:rPr>
              <w:t>13</w:t>
            </w:r>
            <w:r w:rsidR="00CD1844">
              <w:rPr>
                <w:webHidden/>
              </w:rPr>
              <w:fldChar w:fldCharType="end"/>
            </w:r>
          </w:hyperlink>
        </w:p>
        <w:p w14:paraId="4A67F4A7" w14:textId="7531503E" w:rsidR="00CD1844" w:rsidRDefault="00DA63B1" w:rsidP="00CD1844">
          <w:pPr>
            <w:pStyle w:val="TOC3"/>
            <w:tabs>
              <w:tab w:val="clear" w:pos="9062"/>
              <w:tab w:val="right" w:leader="dot" w:pos="10466"/>
            </w:tabs>
            <w:rPr>
              <w:rFonts w:asciiTheme="minorHAnsi" w:eastAsiaTheme="minorEastAsia" w:hAnsiTheme="minorHAnsi" w:cstheme="minorBidi"/>
              <w:noProof/>
              <w:lang w:eastAsia="en-AU"/>
            </w:rPr>
          </w:pPr>
          <w:hyperlink w:anchor="_Toc80259530" w:history="1">
            <w:r w:rsidR="00CD1844" w:rsidRPr="005C7865">
              <w:rPr>
                <w:rStyle w:val="Hyperlink"/>
                <w:noProof/>
                <w14:scene3d>
                  <w14:camera w14:prst="orthographicFront"/>
                  <w14:lightRig w14:rig="threePt" w14:dir="t">
                    <w14:rot w14:lat="0" w14:lon="0" w14:rev="0"/>
                  </w14:lightRig>
                </w14:scene3d>
              </w:rPr>
              <w:t>7</w:t>
            </w:r>
            <w:r w:rsidR="00CD1844">
              <w:rPr>
                <w:rFonts w:asciiTheme="minorHAnsi" w:eastAsiaTheme="minorEastAsia" w:hAnsiTheme="minorHAnsi" w:cstheme="minorBidi"/>
                <w:noProof/>
                <w:lang w:eastAsia="en-AU"/>
              </w:rPr>
              <w:tab/>
            </w:r>
            <w:r w:rsidR="00CD1844" w:rsidRPr="005C7865">
              <w:rPr>
                <w:rStyle w:val="Hyperlink"/>
                <w:noProof/>
              </w:rPr>
              <w:t>Impact on Threatened Species</w:t>
            </w:r>
            <w:r w:rsidR="00CD1844">
              <w:rPr>
                <w:noProof/>
                <w:webHidden/>
              </w:rPr>
              <w:tab/>
            </w:r>
            <w:r w:rsidR="00CD1844">
              <w:rPr>
                <w:noProof/>
                <w:webHidden/>
              </w:rPr>
              <w:fldChar w:fldCharType="begin"/>
            </w:r>
            <w:r w:rsidR="00CD1844">
              <w:rPr>
                <w:noProof/>
                <w:webHidden/>
              </w:rPr>
              <w:instrText xml:space="preserve"> PAGEREF _Toc80259530 \h </w:instrText>
            </w:r>
            <w:r w:rsidR="00CD1844">
              <w:rPr>
                <w:noProof/>
                <w:webHidden/>
              </w:rPr>
            </w:r>
            <w:r w:rsidR="00CD1844">
              <w:rPr>
                <w:noProof/>
                <w:webHidden/>
              </w:rPr>
              <w:fldChar w:fldCharType="separate"/>
            </w:r>
            <w:r w:rsidR="00CD1844">
              <w:rPr>
                <w:noProof/>
                <w:webHidden/>
              </w:rPr>
              <w:t>13</w:t>
            </w:r>
            <w:r w:rsidR="00CD1844">
              <w:rPr>
                <w:noProof/>
                <w:webHidden/>
              </w:rPr>
              <w:fldChar w:fldCharType="end"/>
            </w:r>
          </w:hyperlink>
        </w:p>
        <w:p w14:paraId="11217620" w14:textId="1E7370F7" w:rsidR="00CD1844" w:rsidRDefault="00DA63B1" w:rsidP="00CD1844">
          <w:pPr>
            <w:pStyle w:val="TOC3"/>
            <w:tabs>
              <w:tab w:val="clear" w:pos="9062"/>
              <w:tab w:val="right" w:leader="dot" w:pos="10466"/>
            </w:tabs>
            <w:rPr>
              <w:rFonts w:asciiTheme="minorHAnsi" w:eastAsiaTheme="minorEastAsia" w:hAnsiTheme="minorHAnsi" w:cstheme="minorBidi"/>
              <w:noProof/>
              <w:lang w:eastAsia="en-AU"/>
            </w:rPr>
          </w:pPr>
          <w:hyperlink w:anchor="_Toc80259531" w:history="1">
            <w:r w:rsidR="00CD1844" w:rsidRPr="005C7865">
              <w:rPr>
                <w:rStyle w:val="Hyperlink"/>
                <w:noProof/>
                <w14:scene3d>
                  <w14:camera w14:prst="orthographicFront"/>
                  <w14:lightRig w14:rig="threePt" w14:dir="t">
                    <w14:rot w14:lat="0" w14:lon="0" w14:rev="0"/>
                  </w14:lightRig>
                </w14:scene3d>
              </w:rPr>
              <w:t>8</w:t>
            </w:r>
            <w:r w:rsidR="00CD1844">
              <w:rPr>
                <w:rFonts w:asciiTheme="minorHAnsi" w:eastAsiaTheme="minorEastAsia" w:hAnsiTheme="minorHAnsi" w:cstheme="minorBidi"/>
                <w:noProof/>
                <w:lang w:eastAsia="en-AU"/>
              </w:rPr>
              <w:tab/>
            </w:r>
            <w:r w:rsidR="00CD1844" w:rsidRPr="005C7865">
              <w:rPr>
                <w:rStyle w:val="Hyperlink"/>
                <w:noProof/>
              </w:rPr>
              <w:t>Environmental Impact</w:t>
            </w:r>
            <w:r w:rsidR="00CD1844">
              <w:rPr>
                <w:noProof/>
                <w:webHidden/>
              </w:rPr>
              <w:tab/>
            </w:r>
            <w:r w:rsidR="00CD1844">
              <w:rPr>
                <w:noProof/>
                <w:webHidden/>
              </w:rPr>
              <w:fldChar w:fldCharType="begin"/>
            </w:r>
            <w:r w:rsidR="00CD1844">
              <w:rPr>
                <w:noProof/>
                <w:webHidden/>
              </w:rPr>
              <w:instrText xml:space="preserve"> PAGEREF _Toc80259531 \h </w:instrText>
            </w:r>
            <w:r w:rsidR="00CD1844">
              <w:rPr>
                <w:noProof/>
                <w:webHidden/>
              </w:rPr>
            </w:r>
            <w:r w:rsidR="00CD1844">
              <w:rPr>
                <w:noProof/>
                <w:webHidden/>
              </w:rPr>
              <w:fldChar w:fldCharType="separate"/>
            </w:r>
            <w:r w:rsidR="00CD1844">
              <w:rPr>
                <w:noProof/>
                <w:webHidden/>
              </w:rPr>
              <w:t>13</w:t>
            </w:r>
            <w:r w:rsidR="00CD1844">
              <w:rPr>
                <w:noProof/>
                <w:webHidden/>
              </w:rPr>
              <w:fldChar w:fldCharType="end"/>
            </w:r>
          </w:hyperlink>
        </w:p>
        <w:p w14:paraId="4BBD59BB" w14:textId="0F25BF93" w:rsidR="00CD1844" w:rsidRDefault="00DA63B1" w:rsidP="00CD1844">
          <w:pPr>
            <w:pStyle w:val="TOC3"/>
            <w:tabs>
              <w:tab w:val="clear" w:pos="9062"/>
              <w:tab w:val="right" w:leader="dot" w:pos="10466"/>
            </w:tabs>
            <w:rPr>
              <w:rFonts w:asciiTheme="minorHAnsi" w:eastAsiaTheme="minorEastAsia" w:hAnsiTheme="minorHAnsi" w:cstheme="minorBidi"/>
              <w:noProof/>
              <w:lang w:eastAsia="en-AU"/>
            </w:rPr>
          </w:pPr>
          <w:hyperlink w:anchor="_Toc80259532" w:history="1">
            <w:r w:rsidR="00CD1844" w:rsidRPr="005C7865">
              <w:rPr>
                <w:rStyle w:val="Hyperlink"/>
                <w:noProof/>
                <w14:scene3d>
                  <w14:camera w14:prst="orthographicFront"/>
                  <w14:lightRig w14:rig="threePt" w14:dir="t">
                    <w14:rot w14:lat="0" w14:lon="0" w14:rev="0"/>
                  </w14:lightRig>
                </w14:scene3d>
              </w:rPr>
              <w:t>9</w:t>
            </w:r>
            <w:r w:rsidR="00CD1844">
              <w:rPr>
                <w:rFonts w:asciiTheme="minorHAnsi" w:eastAsiaTheme="minorEastAsia" w:hAnsiTheme="minorHAnsi" w:cstheme="minorBidi"/>
                <w:noProof/>
                <w:lang w:eastAsia="en-AU"/>
              </w:rPr>
              <w:tab/>
            </w:r>
            <w:r w:rsidR="00CD1844" w:rsidRPr="005C7865">
              <w:rPr>
                <w:rStyle w:val="Hyperlink"/>
                <w:noProof/>
              </w:rPr>
              <w:t>Social and Economic Impacts</w:t>
            </w:r>
            <w:r w:rsidR="00CD1844">
              <w:rPr>
                <w:noProof/>
                <w:webHidden/>
              </w:rPr>
              <w:tab/>
            </w:r>
            <w:r w:rsidR="00CD1844">
              <w:rPr>
                <w:noProof/>
                <w:webHidden/>
              </w:rPr>
              <w:fldChar w:fldCharType="begin"/>
            </w:r>
            <w:r w:rsidR="00CD1844">
              <w:rPr>
                <w:noProof/>
                <w:webHidden/>
              </w:rPr>
              <w:instrText xml:space="preserve"> PAGEREF _Toc80259532 \h </w:instrText>
            </w:r>
            <w:r w:rsidR="00CD1844">
              <w:rPr>
                <w:noProof/>
                <w:webHidden/>
              </w:rPr>
            </w:r>
            <w:r w:rsidR="00CD1844">
              <w:rPr>
                <w:noProof/>
                <w:webHidden/>
              </w:rPr>
              <w:fldChar w:fldCharType="separate"/>
            </w:r>
            <w:r w:rsidR="00CD1844">
              <w:rPr>
                <w:noProof/>
                <w:webHidden/>
              </w:rPr>
              <w:t>13</w:t>
            </w:r>
            <w:r w:rsidR="00CD1844">
              <w:rPr>
                <w:noProof/>
                <w:webHidden/>
              </w:rPr>
              <w:fldChar w:fldCharType="end"/>
            </w:r>
          </w:hyperlink>
        </w:p>
        <w:p w14:paraId="3A2825F0" w14:textId="6C7F22F2" w:rsidR="00CD1844" w:rsidRDefault="00DA63B1" w:rsidP="00CD1844">
          <w:pPr>
            <w:pStyle w:val="TOC2"/>
            <w:tabs>
              <w:tab w:val="clear" w:pos="9072"/>
              <w:tab w:val="right" w:leader="dot" w:pos="10466"/>
            </w:tabs>
            <w:rPr>
              <w:rFonts w:asciiTheme="minorHAnsi" w:eastAsiaTheme="minorEastAsia" w:hAnsiTheme="minorHAnsi" w:cstheme="minorBidi"/>
              <w:lang w:eastAsia="en-AU"/>
            </w:rPr>
          </w:pPr>
          <w:hyperlink w:anchor="_Toc80259533" w:history="1">
            <w:r w:rsidR="00CD1844" w:rsidRPr="005C7865">
              <w:rPr>
                <w:rStyle w:val="Hyperlink"/>
              </w:rPr>
              <w:t>Section D: State and Commonwealth Interests</w:t>
            </w:r>
            <w:r w:rsidR="00CD1844">
              <w:rPr>
                <w:webHidden/>
              </w:rPr>
              <w:tab/>
            </w:r>
            <w:r w:rsidR="00CD1844">
              <w:rPr>
                <w:webHidden/>
              </w:rPr>
              <w:fldChar w:fldCharType="begin"/>
            </w:r>
            <w:r w:rsidR="00CD1844">
              <w:rPr>
                <w:webHidden/>
              </w:rPr>
              <w:instrText xml:space="preserve"> PAGEREF _Toc80259533 \h </w:instrText>
            </w:r>
            <w:r w:rsidR="00CD1844">
              <w:rPr>
                <w:webHidden/>
              </w:rPr>
            </w:r>
            <w:r w:rsidR="00CD1844">
              <w:rPr>
                <w:webHidden/>
              </w:rPr>
              <w:fldChar w:fldCharType="separate"/>
            </w:r>
            <w:r w:rsidR="00CD1844">
              <w:rPr>
                <w:webHidden/>
              </w:rPr>
              <w:t>13</w:t>
            </w:r>
            <w:r w:rsidR="00CD1844">
              <w:rPr>
                <w:webHidden/>
              </w:rPr>
              <w:fldChar w:fldCharType="end"/>
            </w:r>
          </w:hyperlink>
        </w:p>
        <w:p w14:paraId="31443B36" w14:textId="6DE4D60A" w:rsidR="00CD1844" w:rsidRDefault="00DA63B1" w:rsidP="00CD1844">
          <w:pPr>
            <w:pStyle w:val="TOC3"/>
            <w:tabs>
              <w:tab w:val="clear" w:pos="9062"/>
              <w:tab w:val="right" w:leader="dot" w:pos="10466"/>
            </w:tabs>
            <w:rPr>
              <w:rFonts w:asciiTheme="minorHAnsi" w:eastAsiaTheme="minorEastAsia" w:hAnsiTheme="minorHAnsi" w:cstheme="minorBidi"/>
              <w:noProof/>
              <w:lang w:eastAsia="en-AU"/>
            </w:rPr>
          </w:pPr>
          <w:hyperlink w:anchor="_Toc80259534" w:history="1">
            <w:r w:rsidR="00CD1844" w:rsidRPr="005C7865">
              <w:rPr>
                <w:rStyle w:val="Hyperlink"/>
                <w:noProof/>
                <w14:scene3d>
                  <w14:camera w14:prst="orthographicFront"/>
                  <w14:lightRig w14:rig="threePt" w14:dir="t">
                    <w14:rot w14:lat="0" w14:lon="0" w14:rev="0"/>
                  </w14:lightRig>
                </w14:scene3d>
              </w:rPr>
              <w:t>10</w:t>
            </w:r>
            <w:r w:rsidR="00CD1844">
              <w:rPr>
                <w:rFonts w:asciiTheme="minorHAnsi" w:eastAsiaTheme="minorEastAsia" w:hAnsiTheme="minorHAnsi" w:cstheme="minorBidi"/>
                <w:noProof/>
                <w:lang w:eastAsia="en-AU"/>
              </w:rPr>
              <w:tab/>
            </w:r>
            <w:r w:rsidR="00CD1844" w:rsidRPr="005C7865">
              <w:rPr>
                <w:rStyle w:val="Hyperlink"/>
                <w:noProof/>
              </w:rPr>
              <w:t>Adequate Public Infrastructure</w:t>
            </w:r>
            <w:r w:rsidR="00CD1844">
              <w:rPr>
                <w:noProof/>
                <w:webHidden/>
              </w:rPr>
              <w:tab/>
            </w:r>
            <w:r w:rsidR="00CD1844">
              <w:rPr>
                <w:noProof/>
                <w:webHidden/>
              </w:rPr>
              <w:fldChar w:fldCharType="begin"/>
            </w:r>
            <w:r w:rsidR="00CD1844">
              <w:rPr>
                <w:noProof/>
                <w:webHidden/>
              </w:rPr>
              <w:instrText xml:space="preserve"> PAGEREF _Toc80259534 \h </w:instrText>
            </w:r>
            <w:r w:rsidR="00CD1844">
              <w:rPr>
                <w:noProof/>
                <w:webHidden/>
              </w:rPr>
            </w:r>
            <w:r w:rsidR="00CD1844">
              <w:rPr>
                <w:noProof/>
                <w:webHidden/>
              </w:rPr>
              <w:fldChar w:fldCharType="separate"/>
            </w:r>
            <w:r w:rsidR="00CD1844">
              <w:rPr>
                <w:noProof/>
                <w:webHidden/>
              </w:rPr>
              <w:t>13</w:t>
            </w:r>
            <w:r w:rsidR="00CD1844">
              <w:rPr>
                <w:noProof/>
                <w:webHidden/>
              </w:rPr>
              <w:fldChar w:fldCharType="end"/>
            </w:r>
          </w:hyperlink>
        </w:p>
        <w:p w14:paraId="21A043FC" w14:textId="368251C1" w:rsidR="00CD1844" w:rsidRDefault="00DA63B1" w:rsidP="00CD1844">
          <w:pPr>
            <w:pStyle w:val="TOC3"/>
            <w:tabs>
              <w:tab w:val="clear" w:pos="9062"/>
              <w:tab w:val="right" w:leader="dot" w:pos="10466"/>
            </w:tabs>
            <w:rPr>
              <w:rFonts w:asciiTheme="minorHAnsi" w:eastAsiaTheme="minorEastAsia" w:hAnsiTheme="minorHAnsi" w:cstheme="minorBidi"/>
              <w:noProof/>
              <w:lang w:eastAsia="en-AU"/>
            </w:rPr>
          </w:pPr>
          <w:hyperlink w:anchor="_Toc80259535" w:history="1">
            <w:r w:rsidR="00CD1844" w:rsidRPr="005C7865">
              <w:rPr>
                <w:rStyle w:val="Hyperlink"/>
                <w:noProof/>
                <w14:scene3d>
                  <w14:camera w14:prst="orthographicFront"/>
                  <w14:lightRig w14:rig="threePt" w14:dir="t">
                    <w14:rot w14:lat="0" w14:lon="0" w14:rev="0"/>
                  </w14:lightRig>
                </w14:scene3d>
              </w:rPr>
              <w:t>11</w:t>
            </w:r>
            <w:r w:rsidR="00CD1844">
              <w:rPr>
                <w:rFonts w:asciiTheme="minorHAnsi" w:eastAsiaTheme="minorEastAsia" w:hAnsiTheme="minorHAnsi" w:cstheme="minorBidi"/>
                <w:noProof/>
                <w:lang w:eastAsia="en-AU"/>
              </w:rPr>
              <w:tab/>
            </w:r>
            <w:r w:rsidR="00CD1844" w:rsidRPr="005C7865">
              <w:rPr>
                <w:rStyle w:val="Hyperlink"/>
                <w:noProof/>
              </w:rPr>
              <w:t>Consultation with State and Commonwealth Authorities</w:t>
            </w:r>
            <w:r w:rsidR="00CD1844">
              <w:rPr>
                <w:noProof/>
                <w:webHidden/>
              </w:rPr>
              <w:tab/>
            </w:r>
            <w:r w:rsidR="00CD1844">
              <w:rPr>
                <w:noProof/>
                <w:webHidden/>
              </w:rPr>
              <w:fldChar w:fldCharType="begin"/>
            </w:r>
            <w:r w:rsidR="00CD1844">
              <w:rPr>
                <w:noProof/>
                <w:webHidden/>
              </w:rPr>
              <w:instrText xml:space="preserve"> PAGEREF _Toc80259535 \h </w:instrText>
            </w:r>
            <w:r w:rsidR="00CD1844">
              <w:rPr>
                <w:noProof/>
                <w:webHidden/>
              </w:rPr>
            </w:r>
            <w:r w:rsidR="00CD1844">
              <w:rPr>
                <w:noProof/>
                <w:webHidden/>
              </w:rPr>
              <w:fldChar w:fldCharType="separate"/>
            </w:r>
            <w:r w:rsidR="00CD1844">
              <w:rPr>
                <w:noProof/>
                <w:webHidden/>
              </w:rPr>
              <w:t>13</w:t>
            </w:r>
            <w:r w:rsidR="00CD1844">
              <w:rPr>
                <w:noProof/>
                <w:webHidden/>
              </w:rPr>
              <w:fldChar w:fldCharType="end"/>
            </w:r>
          </w:hyperlink>
        </w:p>
        <w:p w14:paraId="1C5CEB52" w14:textId="0A76E2B4" w:rsidR="00CD1844" w:rsidRDefault="00DA63B1" w:rsidP="00CD1844">
          <w:pPr>
            <w:pStyle w:val="TOC1"/>
            <w:tabs>
              <w:tab w:val="clear" w:pos="9072"/>
              <w:tab w:val="right" w:leader="dot" w:pos="10466"/>
            </w:tabs>
            <w:rPr>
              <w:rFonts w:asciiTheme="minorHAnsi" w:eastAsiaTheme="minorEastAsia" w:hAnsiTheme="minorHAnsi" w:cstheme="minorBidi"/>
              <w:noProof/>
              <w:szCs w:val="22"/>
            </w:rPr>
          </w:pPr>
          <w:hyperlink w:anchor="_Toc80259536" w:history="1">
            <w:r w:rsidR="00CD1844" w:rsidRPr="005C7865">
              <w:rPr>
                <w:rStyle w:val="Hyperlink"/>
                <w:noProof/>
              </w:rPr>
              <w:t>Part 4: Mapping</w:t>
            </w:r>
            <w:r w:rsidR="00CD1844">
              <w:rPr>
                <w:noProof/>
                <w:webHidden/>
              </w:rPr>
              <w:tab/>
            </w:r>
            <w:r w:rsidR="00CD1844">
              <w:rPr>
                <w:noProof/>
                <w:webHidden/>
              </w:rPr>
              <w:fldChar w:fldCharType="begin"/>
            </w:r>
            <w:r w:rsidR="00CD1844">
              <w:rPr>
                <w:noProof/>
                <w:webHidden/>
              </w:rPr>
              <w:instrText xml:space="preserve"> PAGEREF _Toc80259536 \h </w:instrText>
            </w:r>
            <w:r w:rsidR="00CD1844">
              <w:rPr>
                <w:noProof/>
                <w:webHidden/>
              </w:rPr>
            </w:r>
            <w:r w:rsidR="00CD1844">
              <w:rPr>
                <w:noProof/>
                <w:webHidden/>
              </w:rPr>
              <w:fldChar w:fldCharType="separate"/>
            </w:r>
            <w:r w:rsidR="00CD1844">
              <w:rPr>
                <w:noProof/>
                <w:webHidden/>
              </w:rPr>
              <w:t>14</w:t>
            </w:r>
            <w:r w:rsidR="00CD1844">
              <w:rPr>
                <w:noProof/>
                <w:webHidden/>
              </w:rPr>
              <w:fldChar w:fldCharType="end"/>
            </w:r>
          </w:hyperlink>
        </w:p>
        <w:p w14:paraId="33BC7B49" w14:textId="3FE1CC65" w:rsidR="00CD1844" w:rsidRDefault="00DA63B1" w:rsidP="00CD1844">
          <w:pPr>
            <w:pStyle w:val="TOC1"/>
            <w:tabs>
              <w:tab w:val="clear" w:pos="9072"/>
              <w:tab w:val="right" w:leader="dot" w:pos="10466"/>
            </w:tabs>
            <w:rPr>
              <w:rFonts w:asciiTheme="minorHAnsi" w:eastAsiaTheme="minorEastAsia" w:hAnsiTheme="minorHAnsi" w:cstheme="minorBidi"/>
              <w:noProof/>
              <w:szCs w:val="22"/>
            </w:rPr>
          </w:pPr>
          <w:hyperlink w:anchor="_Toc80259537" w:history="1">
            <w:r w:rsidR="00CD1844" w:rsidRPr="005C7865">
              <w:rPr>
                <w:rStyle w:val="Hyperlink"/>
                <w:noProof/>
              </w:rPr>
              <w:t>Part 5:</w:t>
            </w:r>
            <w:r w:rsidR="00CD1844">
              <w:rPr>
                <w:rFonts w:asciiTheme="minorHAnsi" w:eastAsiaTheme="minorEastAsia" w:hAnsiTheme="minorHAnsi" w:cstheme="minorBidi"/>
                <w:noProof/>
                <w:szCs w:val="22"/>
              </w:rPr>
              <w:tab/>
            </w:r>
            <w:r w:rsidR="00CD1844" w:rsidRPr="005C7865">
              <w:rPr>
                <w:rStyle w:val="Hyperlink"/>
                <w:noProof/>
              </w:rPr>
              <w:t>Community Consultation</w:t>
            </w:r>
            <w:r w:rsidR="00CD1844">
              <w:rPr>
                <w:noProof/>
                <w:webHidden/>
              </w:rPr>
              <w:tab/>
            </w:r>
            <w:r w:rsidR="00CD1844">
              <w:rPr>
                <w:noProof/>
                <w:webHidden/>
              </w:rPr>
              <w:fldChar w:fldCharType="begin"/>
            </w:r>
            <w:r w:rsidR="00CD1844">
              <w:rPr>
                <w:noProof/>
                <w:webHidden/>
              </w:rPr>
              <w:instrText xml:space="preserve"> PAGEREF _Toc80259537 \h </w:instrText>
            </w:r>
            <w:r w:rsidR="00CD1844">
              <w:rPr>
                <w:noProof/>
                <w:webHidden/>
              </w:rPr>
            </w:r>
            <w:r w:rsidR="00CD1844">
              <w:rPr>
                <w:noProof/>
                <w:webHidden/>
              </w:rPr>
              <w:fldChar w:fldCharType="separate"/>
            </w:r>
            <w:r w:rsidR="00CD1844">
              <w:rPr>
                <w:noProof/>
                <w:webHidden/>
              </w:rPr>
              <w:t>14</w:t>
            </w:r>
            <w:r w:rsidR="00CD1844">
              <w:rPr>
                <w:noProof/>
                <w:webHidden/>
              </w:rPr>
              <w:fldChar w:fldCharType="end"/>
            </w:r>
          </w:hyperlink>
        </w:p>
        <w:p w14:paraId="60D278D5" w14:textId="5FB3F053" w:rsidR="00CD1844" w:rsidRDefault="00DA63B1" w:rsidP="00CD1844">
          <w:pPr>
            <w:pStyle w:val="TOC1"/>
            <w:tabs>
              <w:tab w:val="clear" w:pos="9072"/>
              <w:tab w:val="right" w:leader="dot" w:pos="10466"/>
            </w:tabs>
            <w:rPr>
              <w:rFonts w:asciiTheme="minorHAnsi" w:eastAsiaTheme="minorEastAsia" w:hAnsiTheme="minorHAnsi" w:cstheme="minorBidi"/>
              <w:noProof/>
              <w:szCs w:val="22"/>
            </w:rPr>
          </w:pPr>
          <w:hyperlink w:anchor="_Toc80259538" w:history="1">
            <w:r w:rsidR="00CD1844" w:rsidRPr="005C7865">
              <w:rPr>
                <w:rStyle w:val="Hyperlink"/>
                <w:noProof/>
              </w:rPr>
              <w:t>Part 6:</w:t>
            </w:r>
            <w:r w:rsidR="00CD1844">
              <w:rPr>
                <w:rFonts w:asciiTheme="minorHAnsi" w:eastAsiaTheme="minorEastAsia" w:hAnsiTheme="minorHAnsi" w:cstheme="minorBidi"/>
                <w:noProof/>
                <w:szCs w:val="22"/>
              </w:rPr>
              <w:tab/>
            </w:r>
            <w:r w:rsidR="00CD1844" w:rsidRPr="005C7865">
              <w:rPr>
                <w:rStyle w:val="Hyperlink"/>
                <w:noProof/>
              </w:rPr>
              <w:t>Project Timeline</w:t>
            </w:r>
            <w:r w:rsidR="00CD1844">
              <w:rPr>
                <w:noProof/>
                <w:webHidden/>
              </w:rPr>
              <w:tab/>
            </w:r>
            <w:r w:rsidR="00CD1844">
              <w:rPr>
                <w:noProof/>
                <w:webHidden/>
              </w:rPr>
              <w:fldChar w:fldCharType="begin"/>
            </w:r>
            <w:r w:rsidR="00CD1844">
              <w:rPr>
                <w:noProof/>
                <w:webHidden/>
              </w:rPr>
              <w:instrText xml:space="preserve"> PAGEREF _Toc80259538 \h </w:instrText>
            </w:r>
            <w:r w:rsidR="00CD1844">
              <w:rPr>
                <w:noProof/>
                <w:webHidden/>
              </w:rPr>
            </w:r>
            <w:r w:rsidR="00CD1844">
              <w:rPr>
                <w:noProof/>
                <w:webHidden/>
              </w:rPr>
              <w:fldChar w:fldCharType="separate"/>
            </w:r>
            <w:r w:rsidR="00CD1844">
              <w:rPr>
                <w:noProof/>
                <w:webHidden/>
              </w:rPr>
              <w:t>14</w:t>
            </w:r>
            <w:r w:rsidR="00CD1844">
              <w:rPr>
                <w:noProof/>
                <w:webHidden/>
              </w:rPr>
              <w:fldChar w:fldCharType="end"/>
            </w:r>
          </w:hyperlink>
        </w:p>
        <w:p w14:paraId="66602A92" w14:textId="66FCC8F1" w:rsidR="008A745E" w:rsidRDefault="0010239C" w:rsidP="00CD1844">
          <w:pPr>
            <w:tabs>
              <w:tab w:val="right" w:leader="dot" w:pos="10206"/>
              <w:tab w:val="right" w:leader="dot" w:pos="10466"/>
            </w:tabs>
            <w:spacing w:after="120"/>
          </w:pPr>
          <w:r>
            <w:rPr>
              <w:szCs w:val="20"/>
              <w:lang w:eastAsia="en-AU"/>
            </w:rPr>
            <w:fldChar w:fldCharType="end"/>
          </w:r>
        </w:p>
      </w:sdtContent>
    </w:sdt>
    <w:p w14:paraId="124E15AF" w14:textId="77777777" w:rsidR="0010239C" w:rsidRDefault="0010239C" w:rsidP="007A148D">
      <w:pPr>
        <w:pStyle w:val="Heading7"/>
        <w:spacing w:after="120"/>
        <w:rPr>
          <w:lang w:eastAsia="en-AU"/>
        </w:rPr>
      </w:pPr>
      <w:r w:rsidRPr="0010239C">
        <w:rPr>
          <w:sz w:val="28"/>
          <w:szCs w:val="28"/>
        </w:rPr>
        <w:t>Tables</w:t>
      </w:r>
    </w:p>
    <w:p w14:paraId="23646A9D" w14:textId="3F41F6AA" w:rsidR="00CD1844" w:rsidRDefault="0010239C">
      <w:pPr>
        <w:pStyle w:val="TableofFigures"/>
        <w:tabs>
          <w:tab w:val="right" w:leader="dot" w:pos="10456"/>
        </w:tabs>
        <w:rPr>
          <w:rFonts w:asciiTheme="minorHAnsi" w:eastAsiaTheme="minorEastAsia" w:hAnsiTheme="minorHAnsi" w:cstheme="minorBidi"/>
          <w:noProof/>
          <w:lang w:eastAsia="en-AU"/>
        </w:rPr>
      </w:pPr>
      <w:r>
        <w:rPr>
          <w:lang w:eastAsia="en-AU"/>
        </w:rPr>
        <w:fldChar w:fldCharType="begin"/>
      </w:r>
      <w:r>
        <w:rPr>
          <w:lang w:eastAsia="en-AU"/>
        </w:rPr>
        <w:instrText xml:space="preserve"> TOC \h \z \c "Table" </w:instrText>
      </w:r>
      <w:r>
        <w:rPr>
          <w:lang w:eastAsia="en-AU"/>
        </w:rPr>
        <w:fldChar w:fldCharType="separate"/>
      </w:r>
      <w:hyperlink w:anchor="_Toc80259539" w:history="1">
        <w:r w:rsidR="00CD1844" w:rsidRPr="004A1077">
          <w:rPr>
            <w:rStyle w:val="Hyperlink"/>
            <w:noProof/>
          </w:rPr>
          <w:t>Table 1: Explanation of Provisions</w:t>
        </w:r>
        <w:r w:rsidR="00CD1844">
          <w:rPr>
            <w:noProof/>
            <w:webHidden/>
          </w:rPr>
          <w:tab/>
        </w:r>
        <w:r w:rsidR="00CD1844">
          <w:rPr>
            <w:noProof/>
            <w:webHidden/>
          </w:rPr>
          <w:fldChar w:fldCharType="begin"/>
        </w:r>
        <w:r w:rsidR="00CD1844">
          <w:rPr>
            <w:noProof/>
            <w:webHidden/>
          </w:rPr>
          <w:instrText xml:space="preserve"> PAGEREF _Toc80259539 \h </w:instrText>
        </w:r>
        <w:r w:rsidR="00CD1844">
          <w:rPr>
            <w:noProof/>
            <w:webHidden/>
          </w:rPr>
        </w:r>
        <w:r w:rsidR="00CD1844">
          <w:rPr>
            <w:noProof/>
            <w:webHidden/>
          </w:rPr>
          <w:fldChar w:fldCharType="separate"/>
        </w:r>
        <w:r w:rsidR="00CD1844">
          <w:rPr>
            <w:noProof/>
            <w:webHidden/>
          </w:rPr>
          <w:t>4</w:t>
        </w:r>
        <w:r w:rsidR="00CD1844">
          <w:rPr>
            <w:noProof/>
            <w:webHidden/>
          </w:rPr>
          <w:fldChar w:fldCharType="end"/>
        </w:r>
      </w:hyperlink>
    </w:p>
    <w:p w14:paraId="5E5AC700" w14:textId="410F13B4" w:rsidR="00CD1844" w:rsidRDefault="00DA63B1">
      <w:pPr>
        <w:pStyle w:val="TableofFigures"/>
        <w:tabs>
          <w:tab w:val="right" w:leader="dot" w:pos="10456"/>
        </w:tabs>
        <w:rPr>
          <w:rFonts w:asciiTheme="minorHAnsi" w:eastAsiaTheme="minorEastAsia" w:hAnsiTheme="minorHAnsi" w:cstheme="minorBidi"/>
          <w:noProof/>
          <w:lang w:eastAsia="en-AU"/>
        </w:rPr>
      </w:pPr>
      <w:hyperlink w:anchor="_Toc80259540" w:history="1">
        <w:r w:rsidR="00CD1844" w:rsidRPr="004A1077">
          <w:rPr>
            <w:rStyle w:val="Hyperlink"/>
            <w:noProof/>
          </w:rPr>
          <w:t>Table 2: Relevant State Environmental Planning Policies</w:t>
        </w:r>
        <w:r w:rsidR="00CD1844">
          <w:rPr>
            <w:noProof/>
            <w:webHidden/>
          </w:rPr>
          <w:tab/>
        </w:r>
        <w:r w:rsidR="00CD1844">
          <w:rPr>
            <w:noProof/>
            <w:webHidden/>
          </w:rPr>
          <w:fldChar w:fldCharType="begin"/>
        </w:r>
        <w:r w:rsidR="00CD1844">
          <w:rPr>
            <w:noProof/>
            <w:webHidden/>
          </w:rPr>
          <w:instrText xml:space="preserve"> PAGEREF _Toc80259540 \h </w:instrText>
        </w:r>
        <w:r w:rsidR="00CD1844">
          <w:rPr>
            <w:noProof/>
            <w:webHidden/>
          </w:rPr>
        </w:r>
        <w:r w:rsidR="00CD1844">
          <w:rPr>
            <w:noProof/>
            <w:webHidden/>
          </w:rPr>
          <w:fldChar w:fldCharType="separate"/>
        </w:r>
        <w:r w:rsidR="00CD1844">
          <w:rPr>
            <w:noProof/>
            <w:webHidden/>
          </w:rPr>
          <w:t>6</w:t>
        </w:r>
        <w:r w:rsidR="00CD1844">
          <w:rPr>
            <w:noProof/>
            <w:webHidden/>
          </w:rPr>
          <w:fldChar w:fldCharType="end"/>
        </w:r>
      </w:hyperlink>
    </w:p>
    <w:p w14:paraId="5B912D28" w14:textId="189C93A9" w:rsidR="00CD1844" w:rsidRDefault="00DA63B1">
      <w:pPr>
        <w:pStyle w:val="TableofFigures"/>
        <w:tabs>
          <w:tab w:val="right" w:leader="dot" w:pos="10456"/>
        </w:tabs>
        <w:rPr>
          <w:rFonts w:asciiTheme="minorHAnsi" w:eastAsiaTheme="minorEastAsia" w:hAnsiTheme="minorHAnsi" w:cstheme="minorBidi"/>
          <w:noProof/>
          <w:lang w:eastAsia="en-AU"/>
        </w:rPr>
      </w:pPr>
      <w:hyperlink w:anchor="_Toc80259541" w:history="1">
        <w:r w:rsidR="00CD1844" w:rsidRPr="004A1077">
          <w:rPr>
            <w:rStyle w:val="Hyperlink"/>
            <w:noProof/>
          </w:rPr>
          <w:t>Table 3:  Relevant Section 9.1 Ministerial Directions</w:t>
        </w:r>
        <w:r w:rsidR="00CD1844">
          <w:rPr>
            <w:noProof/>
            <w:webHidden/>
          </w:rPr>
          <w:tab/>
        </w:r>
        <w:r w:rsidR="00CD1844">
          <w:rPr>
            <w:noProof/>
            <w:webHidden/>
          </w:rPr>
          <w:fldChar w:fldCharType="begin"/>
        </w:r>
        <w:r w:rsidR="00CD1844">
          <w:rPr>
            <w:noProof/>
            <w:webHidden/>
          </w:rPr>
          <w:instrText xml:space="preserve"> PAGEREF _Toc80259541 \h </w:instrText>
        </w:r>
        <w:r w:rsidR="00CD1844">
          <w:rPr>
            <w:noProof/>
            <w:webHidden/>
          </w:rPr>
        </w:r>
        <w:r w:rsidR="00CD1844">
          <w:rPr>
            <w:noProof/>
            <w:webHidden/>
          </w:rPr>
          <w:fldChar w:fldCharType="separate"/>
        </w:r>
        <w:r w:rsidR="00CD1844">
          <w:rPr>
            <w:noProof/>
            <w:webHidden/>
          </w:rPr>
          <w:t>10</w:t>
        </w:r>
        <w:r w:rsidR="00CD1844">
          <w:rPr>
            <w:noProof/>
            <w:webHidden/>
          </w:rPr>
          <w:fldChar w:fldCharType="end"/>
        </w:r>
      </w:hyperlink>
    </w:p>
    <w:p w14:paraId="5C61A71C" w14:textId="63B7F5FA" w:rsidR="0010239C" w:rsidRPr="0010239C" w:rsidRDefault="0010239C" w:rsidP="007A148D">
      <w:pPr>
        <w:pStyle w:val="Heading7"/>
        <w:spacing w:after="120"/>
        <w:rPr>
          <w:lang w:eastAsia="en-AU"/>
        </w:rPr>
      </w:pPr>
      <w:r>
        <w:rPr>
          <w:lang w:eastAsia="en-AU"/>
        </w:rPr>
        <w:fldChar w:fldCharType="end"/>
      </w:r>
      <w:r w:rsidRPr="0010239C">
        <w:rPr>
          <w:sz w:val="28"/>
          <w:szCs w:val="28"/>
        </w:rPr>
        <w:t>Figures</w:t>
      </w:r>
    </w:p>
    <w:p w14:paraId="6CC6041F" w14:textId="3B1D4213" w:rsidR="00CD1844" w:rsidRDefault="0010239C">
      <w:pPr>
        <w:pStyle w:val="TableofFigures"/>
        <w:tabs>
          <w:tab w:val="right" w:leader="dot" w:pos="10456"/>
        </w:tabs>
        <w:rPr>
          <w:rFonts w:asciiTheme="minorHAnsi" w:eastAsiaTheme="minorEastAsia" w:hAnsiTheme="minorHAnsi" w:cstheme="minorBidi"/>
          <w:noProof/>
          <w:lang w:eastAsia="en-AU"/>
        </w:rPr>
      </w:pPr>
      <w:r w:rsidRPr="00270750">
        <w:rPr>
          <w:b/>
          <w:lang w:eastAsia="en-AU"/>
        </w:rPr>
        <w:fldChar w:fldCharType="begin"/>
      </w:r>
      <w:r w:rsidRPr="00270750">
        <w:rPr>
          <w:b/>
          <w:lang w:eastAsia="en-AU"/>
        </w:rPr>
        <w:instrText xml:space="preserve"> TOC \h \z \c "Figure" </w:instrText>
      </w:r>
      <w:r w:rsidRPr="00270750">
        <w:rPr>
          <w:b/>
          <w:lang w:eastAsia="en-AU"/>
        </w:rPr>
        <w:fldChar w:fldCharType="separate"/>
      </w:r>
      <w:hyperlink w:anchor="_Toc80259542" w:history="1">
        <w:r w:rsidR="00CD1844" w:rsidRPr="00E872A9">
          <w:rPr>
            <w:rStyle w:val="Hyperlink"/>
            <w:noProof/>
          </w:rPr>
          <w:t>Figure 1: 101 Maitland and part of 107 Lang Street, Kurri Kurri</w:t>
        </w:r>
        <w:r w:rsidR="00CD1844">
          <w:rPr>
            <w:noProof/>
            <w:webHidden/>
          </w:rPr>
          <w:tab/>
        </w:r>
        <w:r w:rsidR="00CD1844">
          <w:rPr>
            <w:noProof/>
            <w:webHidden/>
          </w:rPr>
          <w:fldChar w:fldCharType="begin"/>
        </w:r>
        <w:r w:rsidR="00CD1844">
          <w:rPr>
            <w:noProof/>
            <w:webHidden/>
          </w:rPr>
          <w:instrText xml:space="preserve"> PAGEREF _Toc80259542 \h </w:instrText>
        </w:r>
        <w:r w:rsidR="00CD1844">
          <w:rPr>
            <w:noProof/>
            <w:webHidden/>
          </w:rPr>
        </w:r>
        <w:r w:rsidR="00CD1844">
          <w:rPr>
            <w:noProof/>
            <w:webHidden/>
          </w:rPr>
          <w:fldChar w:fldCharType="separate"/>
        </w:r>
        <w:r w:rsidR="00CD1844">
          <w:rPr>
            <w:noProof/>
            <w:webHidden/>
          </w:rPr>
          <w:t>16</w:t>
        </w:r>
        <w:r w:rsidR="00CD1844">
          <w:rPr>
            <w:noProof/>
            <w:webHidden/>
          </w:rPr>
          <w:fldChar w:fldCharType="end"/>
        </w:r>
      </w:hyperlink>
    </w:p>
    <w:p w14:paraId="2954C09A" w14:textId="72CAE527" w:rsidR="0010239C" w:rsidRPr="007421BC" w:rsidRDefault="0010239C" w:rsidP="007421BC">
      <w:pPr>
        <w:pStyle w:val="TableofFigures"/>
        <w:tabs>
          <w:tab w:val="right" w:leader="dot" w:pos="9062"/>
        </w:tabs>
        <w:spacing w:after="0"/>
        <w:rPr>
          <w:b/>
          <w:sz w:val="10"/>
          <w:lang w:eastAsia="en-AU"/>
        </w:rPr>
      </w:pPr>
      <w:r w:rsidRPr="00270750">
        <w:rPr>
          <w:b/>
          <w:lang w:eastAsia="en-AU"/>
        </w:rPr>
        <w:fldChar w:fldCharType="end"/>
      </w:r>
    </w:p>
    <w:p w14:paraId="336DAF36" w14:textId="77777777" w:rsidR="0010239C" w:rsidRDefault="0010239C" w:rsidP="007A148D">
      <w:pPr>
        <w:pStyle w:val="Heading7"/>
        <w:spacing w:after="120"/>
        <w:rPr>
          <w:lang w:eastAsia="en-AU"/>
        </w:rPr>
      </w:pPr>
      <w:r w:rsidRPr="0010239C">
        <w:rPr>
          <w:sz w:val="28"/>
          <w:szCs w:val="28"/>
        </w:rPr>
        <w:t>Appendices</w:t>
      </w:r>
    </w:p>
    <w:p w14:paraId="4C1CC0E5" w14:textId="2B589385" w:rsidR="00CD1844" w:rsidRDefault="0010239C">
      <w:pPr>
        <w:pStyle w:val="TableofFigures"/>
        <w:tabs>
          <w:tab w:val="right" w:leader="dot" w:pos="10456"/>
        </w:tabs>
        <w:rPr>
          <w:rFonts w:asciiTheme="minorHAnsi" w:eastAsiaTheme="minorEastAsia" w:hAnsiTheme="minorHAnsi" w:cstheme="minorBidi"/>
          <w:noProof/>
          <w:lang w:eastAsia="en-AU"/>
        </w:rPr>
      </w:pPr>
      <w:r>
        <w:rPr>
          <w:lang w:eastAsia="en-AU"/>
        </w:rPr>
        <w:fldChar w:fldCharType="begin"/>
      </w:r>
      <w:r>
        <w:rPr>
          <w:lang w:eastAsia="en-AU"/>
        </w:rPr>
        <w:instrText xml:space="preserve"> TOC \h \z \c "Appendix" </w:instrText>
      </w:r>
      <w:r>
        <w:rPr>
          <w:lang w:eastAsia="en-AU"/>
        </w:rPr>
        <w:fldChar w:fldCharType="separate"/>
      </w:r>
      <w:hyperlink w:anchor="_Toc80259544" w:history="1">
        <w:r w:rsidR="00CD1844" w:rsidRPr="00FA7320">
          <w:rPr>
            <w:rStyle w:val="Hyperlink"/>
            <w:noProof/>
            <w:lang w:eastAsia="en-AU"/>
          </w:rPr>
          <w:t>Appendix 1: Council Report and Minutes (dates)</w:t>
        </w:r>
        <w:r w:rsidR="00CD1844">
          <w:rPr>
            <w:noProof/>
            <w:webHidden/>
          </w:rPr>
          <w:tab/>
        </w:r>
        <w:r w:rsidR="00CD1844">
          <w:rPr>
            <w:noProof/>
            <w:webHidden/>
          </w:rPr>
          <w:fldChar w:fldCharType="begin"/>
        </w:r>
        <w:r w:rsidR="00CD1844">
          <w:rPr>
            <w:noProof/>
            <w:webHidden/>
          </w:rPr>
          <w:instrText xml:space="preserve"> PAGEREF _Toc80259544 \h </w:instrText>
        </w:r>
        <w:r w:rsidR="00CD1844">
          <w:rPr>
            <w:noProof/>
            <w:webHidden/>
          </w:rPr>
        </w:r>
        <w:r w:rsidR="00CD1844">
          <w:rPr>
            <w:noProof/>
            <w:webHidden/>
          </w:rPr>
          <w:fldChar w:fldCharType="separate"/>
        </w:r>
        <w:r w:rsidR="00CD1844">
          <w:rPr>
            <w:noProof/>
            <w:webHidden/>
          </w:rPr>
          <w:t>15</w:t>
        </w:r>
        <w:r w:rsidR="00CD1844">
          <w:rPr>
            <w:noProof/>
            <w:webHidden/>
          </w:rPr>
          <w:fldChar w:fldCharType="end"/>
        </w:r>
      </w:hyperlink>
    </w:p>
    <w:p w14:paraId="0620FC91" w14:textId="3B166B99" w:rsidR="00CD1844" w:rsidRDefault="00DA63B1">
      <w:pPr>
        <w:pStyle w:val="TableofFigures"/>
        <w:tabs>
          <w:tab w:val="right" w:leader="dot" w:pos="10456"/>
        </w:tabs>
        <w:rPr>
          <w:rFonts w:asciiTheme="minorHAnsi" w:eastAsiaTheme="minorEastAsia" w:hAnsiTheme="minorHAnsi" w:cstheme="minorBidi"/>
          <w:noProof/>
          <w:lang w:eastAsia="en-AU"/>
        </w:rPr>
      </w:pPr>
      <w:hyperlink w:anchor="_Toc80259545" w:history="1">
        <w:r w:rsidR="00CD1844" w:rsidRPr="00FA7320">
          <w:rPr>
            <w:rStyle w:val="Hyperlink"/>
            <w:noProof/>
            <w:lang w:eastAsia="en-AU"/>
          </w:rPr>
          <w:t>Appendix 2:</w:t>
        </w:r>
        <w:r w:rsidR="00CD1844">
          <w:rPr>
            <w:noProof/>
            <w:webHidden/>
          </w:rPr>
          <w:tab/>
        </w:r>
        <w:r w:rsidR="00CD1844">
          <w:rPr>
            <w:noProof/>
            <w:webHidden/>
          </w:rPr>
          <w:fldChar w:fldCharType="begin"/>
        </w:r>
        <w:r w:rsidR="00CD1844">
          <w:rPr>
            <w:noProof/>
            <w:webHidden/>
          </w:rPr>
          <w:instrText xml:space="preserve"> PAGEREF _Toc80259545 \h </w:instrText>
        </w:r>
        <w:r w:rsidR="00CD1844">
          <w:rPr>
            <w:noProof/>
            <w:webHidden/>
          </w:rPr>
        </w:r>
        <w:r w:rsidR="00CD1844">
          <w:rPr>
            <w:noProof/>
            <w:webHidden/>
          </w:rPr>
          <w:fldChar w:fldCharType="separate"/>
        </w:r>
        <w:r w:rsidR="00CD1844">
          <w:rPr>
            <w:noProof/>
            <w:webHidden/>
          </w:rPr>
          <w:t>16</w:t>
        </w:r>
        <w:r w:rsidR="00CD1844">
          <w:rPr>
            <w:noProof/>
            <w:webHidden/>
          </w:rPr>
          <w:fldChar w:fldCharType="end"/>
        </w:r>
      </w:hyperlink>
    </w:p>
    <w:p w14:paraId="445D2A3F" w14:textId="692F0697" w:rsidR="00E527D0" w:rsidRDefault="0010239C" w:rsidP="007421BC">
      <w:pPr>
        <w:tabs>
          <w:tab w:val="right" w:leader="dot" w:pos="10206"/>
        </w:tabs>
        <w:spacing w:after="120"/>
        <w:rPr>
          <w:lang w:eastAsia="en-AU"/>
        </w:rPr>
      </w:pPr>
      <w:r>
        <w:rPr>
          <w:lang w:eastAsia="en-AU"/>
        </w:rPr>
        <w:fldChar w:fldCharType="end"/>
      </w:r>
    </w:p>
    <w:p w14:paraId="0CB609A0" w14:textId="38D8D4D7" w:rsidR="00E527D0" w:rsidRDefault="00E527D0">
      <w:pPr>
        <w:autoSpaceDE/>
        <w:autoSpaceDN/>
        <w:adjustRightInd/>
        <w:spacing w:after="0"/>
        <w:jc w:val="left"/>
        <w:rPr>
          <w:lang w:eastAsia="en-AU"/>
        </w:rPr>
      </w:pPr>
    </w:p>
    <w:p w14:paraId="0E0F5422" w14:textId="77777777" w:rsidR="00C64EB3" w:rsidRDefault="00C64EB3">
      <w:pPr>
        <w:autoSpaceDE/>
        <w:autoSpaceDN/>
        <w:adjustRightInd/>
        <w:spacing w:after="0"/>
        <w:jc w:val="left"/>
        <w:rPr>
          <w:color w:val="FF0000"/>
          <w:lang w:eastAsia="en-AU"/>
        </w:rPr>
      </w:pPr>
      <w:r>
        <w:rPr>
          <w:color w:val="FF0000"/>
          <w:lang w:eastAsia="en-AU"/>
        </w:rPr>
        <w:br w:type="page"/>
      </w:r>
    </w:p>
    <w:p w14:paraId="54FCDD92" w14:textId="716A175E" w:rsidR="000C459D" w:rsidRPr="000559F4" w:rsidRDefault="000C459D" w:rsidP="007421BC">
      <w:pPr>
        <w:tabs>
          <w:tab w:val="right" w:leader="dot" w:pos="10206"/>
        </w:tabs>
        <w:spacing w:after="120"/>
        <w:rPr>
          <w:vanish/>
          <w:color w:val="FF0000"/>
          <w:lang w:eastAsia="en-AU"/>
        </w:rPr>
      </w:pPr>
      <w:r w:rsidRPr="000559F4">
        <w:rPr>
          <w:vanish/>
          <w:color w:val="FF0000"/>
          <w:lang w:eastAsia="en-AU"/>
        </w:rPr>
        <w:lastRenderedPageBreak/>
        <w:t>HELP NOTES:</w:t>
      </w:r>
    </w:p>
    <w:p w14:paraId="03CD0588" w14:textId="77777777" w:rsidR="000C459D" w:rsidRPr="000559F4" w:rsidRDefault="000C459D" w:rsidP="00A045F7">
      <w:pPr>
        <w:rPr>
          <w:vanish/>
          <w:color w:val="FF0000"/>
          <w:lang w:eastAsia="en-AU"/>
        </w:rPr>
      </w:pPr>
      <w:r w:rsidRPr="000559F4">
        <w:rPr>
          <w:vanish/>
          <w:color w:val="FF0000"/>
          <w:lang w:eastAsia="en-AU"/>
        </w:rPr>
        <w:t xml:space="preserve">To update Table of Contents: Right Click within the Table of Contents and select “Update Field”, then select “Update Entire Table”.  This will update page numbers and any updates to heading names etc that have been made within the document.  </w:t>
      </w:r>
    </w:p>
    <w:p w14:paraId="6B59DD90" w14:textId="77777777" w:rsidR="000C459D" w:rsidRPr="000559F4" w:rsidRDefault="000C459D" w:rsidP="00A045F7">
      <w:pPr>
        <w:rPr>
          <w:vanish/>
          <w:color w:val="FF0000"/>
          <w:lang w:eastAsia="en-AU"/>
        </w:rPr>
      </w:pPr>
      <w:r w:rsidRPr="000559F4">
        <w:rPr>
          <w:vanish/>
          <w:color w:val="FF0000"/>
          <w:lang w:eastAsia="en-AU"/>
        </w:rPr>
        <w:t xml:space="preserve">Double check that all of the headings within the document have appeared in the Table of Contents and that you haven’t upset or deleted any formatting.  </w:t>
      </w:r>
    </w:p>
    <w:p w14:paraId="7195CF20" w14:textId="77777777" w:rsidR="000C459D" w:rsidRPr="000559F4" w:rsidRDefault="000C459D" w:rsidP="00A045F7">
      <w:pPr>
        <w:rPr>
          <w:vanish/>
          <w:color w:val="FF0000"/>
          <w:lang w:eastAsia="en-AU"/>
        </w:rPr>
      </w:pPr>
      <w:r w:rsidRPr="000559F4">
        <w:rPr>
          <w:vanish/>
          <w:color w:val="FF0000"/>
          <w:lang w:eastAsia="en-AU"/>
        </w:rPr>
        <w:t>You will also need to highlight the entire Table of Contents once updated and select Font: Arial 12 if it defaults back to Times New Roman and Paragraph line spacing 1.5 lines.</w:t>
      </w:r>
    </w:p>
    <w:p w14:paraId="1B37FB88" w14:textId="77777777" w:rsidR="000C459D" w:rsidRPr="000559F4" w:rsidRDefault="000C459D" w:rsidP="00A045F7">
      <w:pPr>
        <w:rPr>
          <w:vanish/>
          <w:color w:val="FF0000"/>
          <w:lang w:eastAsia="en-AU"/>
        </w:rPr>
      </w:pPr>
      <w:r w:rsidRPr="000559F4">
        <w:rPr>
          <w:vanish/>
          <w:color w:val="FF0000"/>
          <w:lang w:eastAsia="en-AU"/>
        </w:rPr>
        <w:t xml:space="preserve">If you need to add additional Tables or Figures you need to COPY an existing Table or Figure </w:t>
      </w:r>
      <w:r w:rsidRPr="000559F4">
        <w:rPr>
          <w:b/>
          <w:vanish/>
          <w:color w:val="FF0000"/>
          <w:lang w:eastAsia="en-AU"/>
        </w:rPr>
        <w:t>Heading</w:t>
      </w:r>
      <w:r w:rsidRPr="000559F4">
        <w:rPr>
          <w:vanish/>
          <w:color w:val="FF0000"/>
          <w:lang w:eastAsia="en-AU"/>
        </w:rPr>
        <w:t xml:space="preserve"> and paste it where you want the new Table or Figure to go.  Then modify the number/name so the formatting of the Heading Style is kept in line with the rest of the Planning Proposal and the Table of Contents will update correctly when you right click and update. </w:t>
      </w:r>
    </w:p>
    <w:p w14:paraId="4DB96274" w14:textId="33AEEAEB" w:rsidR="000C459D" w:rsidRPr="00C64E6D" w:rsidRDefault="002879C9" w:rsidP="008D05E3">
      <w:pPr>
        <w:pStyle w:val="Heading1"/>
      </w:pPr>
      <w:bookmarkStart w:id="0" w:name="_Toc418240876"/>
      <w:bookmarkStart w:id="1" w:name="_Toc80259518"/>
      <w:r>
        <w:t>Part</w:t>
      </w:r>
      <w:r w:rsidR="000C459D" w:rsidRPr="00C64E6D">
        <w:t xml:space="preserve"> 1:</w:t>
      </w:r>
      <w:r>
        <w:t xml:space="preserve"> Objectives</w:t>
      </w:r>
      <w:r w:rsidR="000C459D" w:rsidRPr="00C64E6D">
        <w:t xml:space="preserve"> and</w:t>
      </w:r>
      <w:r w:rsidR="00DC19F0">
        <w:t xml:space="preserve"> </w:t>
      </w:r>
      <w:bookmarkEnd w:id="0"/>
      <w:r>
        <w:t>Outcomes</w:t>
      </w:r>
      <w:bookmarkEnd w:id="1"/>
    </w:p>
    <w:p w14:paraId="65F422D2" w14:textId="5CCB4447" w:rsidR="00CA085A" w:rsidRDefault="00BF05EE" w:rsidP="00A045F7">
      <w:pPr>
        <w:rPr>
          <w:lang w:eastAsia="en-AU"/>
        </w:rPr>
      </w:pPr>
      <w:r>
        <w:rPr>
          <w:lang w:eastAsia="en-AU"/>
        </w:rPr>
        <w:t>Th</w:t>
      </w:r>
      <w:r w:rsidR="00714E34" w:rsidRPr="00714E34">
        <w:rPr>
          <w:lang w:eastAsia="en-AU"/>
        </w:rPr>
        <w:t xml:space="preserve">e objective of the Planning Proposal is </w:t>
      </w:r>
      <w:r w:rsidR="00E527D0">
        <w:rPr>
          <w:lang w:eastAsia="en-AU"/>
        </w:rPr>
        <w:t>to</w:t>
      </w:r>
      <w:r w:rsidR="00CA085A">
        <w:rPr>
          <w:lang w:eastAsia="en-AU"/>
        </w:rPr>
        <w:t xml:space="preserve"> reclassif</w:t>
      </w:r>
      <w:r w:rsidR="001C5F51">
        <w:rPr>
          <w:lang w:eastAsia="en-AU"/>
        </w:rPr>
        <w:t>y</w:t>
      </w:r>
      <w:r w:rsidR="00E527D0">
        <w:rPr>
          <w:lang w:eastAsia="en-AU"/>
        </w:rPr>
        <w:t xml:space="preserve"> 101 Maitland Street and part of 107 Lang Street</w:t>
      </w:r>
      <w:r w:rsidR="00974087">
        <w:rPr>
          <w:lang w:eastAsia="en-AU"/>
        </w:rPr>
        <w:t>,</w:t>
      </w:r>
      <w:r w:rsidR="00E527D0">
        <w:rPr>
          <w:lang w:eastAsia="en-AU"/>
        </w:rPr>
        <w:t xml:space="preserve"> Kurri Kurri</w:t>
      </w:r>
      <w:r w:rsidR="00105B4D">
        <w:rPr>
          <w:lang w:eastAsia="en-AU"/>
        </w:rPr>
        <w:t xml:space="preserve"> (</w:t>
      </w:r>
      <w:r w:rsidR="00105B4D">
        <w:t xml:space="preserve">Lot 5 and Part of Lot </w:t>
      </w:r>
      <w:r w:rsidR="00105B4D" w:rsidRPr="004061BA">
        <w:t>7 DP 1140055</w:t>
      </w:r>
      <w:r w:rsidR="00105B4D">
        <w:t>)</w:t>
      </w:r>
      <w:r w:rsidR="00974087">
        <w:rPr>
          <w:lang w:eastAsia="en-AU"/>
        </w:rPr>
        <w:t>. The properties are</w:t>
      </w:r>
      <w:r w:rsidR="00E527D0">
        <w:rPr>
          <w:lang w:eastAsia="en-AU"/>
        </w:rPr>
        <w:t xml:space="preserve"> </w:t>
      </w:r>
      <w:r w:rsidR="00974087">
        <w:rPr>
          <w:lang w:eastAsia="en-AU"/>
        </w:rPr>
        <w:t>collectively known as ‘</w:t>
      </w:r>
      <w:r w:rsidR="00E527D0">
        <w:rPr>
          <w:lang w:eastAsia="en-AU"/>
        </w:rPr>
        <w:t>Molly Worthington Netball Courts</w:t>
      </w:r>
      <w:r w:rsidR="00974087">
        <w:rPr>
          <w:lang w:eastAsia="en-AU"/>
        </w:rPr>
        <w:t>’</w:t>
      </w:r>
      <w:r w:rsidR="00CA085A">
        <w:rPr>
          <w:lang w:eastAsia="en-AU"/>
        </w:rPr>
        <w:t xml:space="preserve">. The Planning Proposal is required as a result of Council resolutions of </w:t>
      </w:r>
      <w:r w:rsidR="00E527D0">
        <w:t>4 July 2018 (PE39/2018),</w:t>
      </w:r>
      <w:r w:rsidR="00CA085A">
        <w:t xml:space="preserve"> 15 May 2019 (PE48/2019</w:t>
      </w:r>
      <w:r w:rsidR="00E527D0">
        <w:t>)</w:t>
      </w:r>
      <w:r w:rsidR="008069C1">
        <w:t xml:space="preserve"> and 19 May 2021 (WI30/2021)</w:t>
      </w:r>
      <w:r w:rsidR="00105B4D">
        <w:t>.</w:t>
      </w:r>
      <w:r w:rsidR="00A16A9A">
        <w:t xml:space="preserve"> </w:t>
      </w:r>
    </w:p>
    <w:p w14:paraId="45FF88EB" w14:textId="570ECAE8" w:rsidR="00DD482E" w:rsidRDefault="00CA085A" w:rsidP="00702970">
      <w:pPr>
        <w:rPr>
          <w:lang w:eastAsia="en-AU"/>
        </w:rPr>
      </w:pPr>
      <w:r>
        <w:rPr>
          <w:lang w:eastAsia="en-AU"/>
        </w:rPr>
        <w:t>The Planning Proposal seeks to</w:t>
      </w:r>
      <w:r w:rsidR="00A0678E">
        <w:rPr>
          <w:lang w:eastAsia="en-AU"/>
        </w:rPr>
        <w:t xml:space="preserve"> </w:t>
      </w:r>
      <w:r w:rsidR="00753F19">
        <w:rPr>
          <w:lang w:eastAsia="en-AU"/>
        </w:rPr>
        <w:t>reclassi</w:t>
      </w:r>
      <w:r w:rsidR="008069C1">
        <w:rPr>
          <w:lang w:eastAsia="en-AU"/>
        </w:rPr>
        <w:t>fy</w:t>
      </w:r>
      <w:r w:rsidR="00702970">
        <w:rPr>
          <w:lang w:eastAsia="en-AU"/>
        </w:rPr>
        <w:t xml:space="preserve"> Molly Worthington Netball Courts </w:t>
      </w:r>
      <w:r w:rsidR="00105B4D">
        <w:rPr>
          <w:lang w:eastAsia="en-AU"/>
        </w:rPr>
        <w:t>from</w:t>
      </w:r>
      <w:r w:rsidR="00702970">
        <w:rPr>
          <w:lang w:eastAsia="en-AU"/>
        </w:rPr>
        <w:t xml:space="preserve"> </w:t>
      </w:r>
      <w:r w:rsidR="00FF3935">
        <w:rPr>
          <w:lang w:eastAsia="en-AU"/>
        </w:rPr>
        <w:t>“Community” to “O</w:t>
      </w:r>
      <w:r w:rsidR="00702970">
        <w:rPr>
          <w:lang w:eastAsia="en-AU"/>
        </w:rPr>
        <w:t>perational”</w:t>
      </w:r>
      <w:r w:rsidR="00105B4D">
        <w:rPr>
          <w:lang w:eastAsia="en-AU"/>
        </w:rPr>
        <w:t xml:space="preserve"> land</w:t>
      </w:r>
      <w:r w:rsidR="00702970">
        <w:rPr>
          <w:lang w:eastAsia="en-AU"/>
        </w:rPr>
        <w:t>.</w:t>
      </w:r>
    </w:p>
    <w:p w14:paraId="179A19D6" w14:textId="77777777" w:rsidR="00DD482E" w:rsidRPr="00A931F4" w:rsidRDefault="00DD482E" w:rsidP="00DD482E">
      <w:pPr>
        <w:rPr>
          <w:u w:val="single"/>
        </w:rPr>
      </w:pPr>
      <w:r w:rsidRPr="00A931F4">
        <w:rPr>
          <w:u w:val="single"/>
        </w:rPr>
        <w:t>Background</w:t>
      </w:r>
    </w:p>
    <w:p w14:paraId="0DDDEF80" w14:textId="2D0C9EDC" w:rsidR="00DD482E" w:rsidRDefault="00A931F4" w:rsidP="00DD482E">
      <w:r>
        <w:t xml:space="preserve">The </w:t>
      </w:r>
      <w:r w:rsidR="00DD482E" w:rsidRPr="00753F19">
        <w:t xml:space="preserve">Molly Worthington </w:t>
      </w:r>
      <w:r w:rsidR="00DD482E">
        <w:t>Netball Courts</w:t>
      </w:r>
      <w:r>
        <w:t xml:space="preserve"> site</w:t>
      </w:r>
      <w:r w:rsidR="00DD482E">
        <w:t xml:space="preserve"> was identified by Council’s Strategic Property Committee and Community Facilities Committee for review and was subsequently tabled for reclassification and rezoning at the Ordinary meeting of Council on 15 May 2019. The resolution stated:</w:t>
      </w:r>
    </w:p>
    <w:p w14:paraId="1639C34A" w14:textId="77777777" w:rsidR="00DD482E" w:rsidRPr="00753F19" w:rsidRDefault="00DD482E" w:rsidP="00DD482E">
      <w:pPr>
        <w:ind w:left="567" w:right="567"/>
        <w:rPr>
          <w:i/>
        </w:rPr>
      </w:pPr>
      <w:r>
        <w:rPr>
          <w:i/>
          <w:lang w:eastAsia="en-AU"/>
        </w:rPr>
        <w:t>“</w:t>
      </w:r>
      <w:r w:rsidRPr="00753F19">
        <w:rPr>
          <w:i/>
          <w:lang w:eastAsia="en-AU"/>
        </w:rPr>
        <w:t>That the reclassification and rezoning of the Kurri Kurri netball courts, known as Lot 5 and Lot 7 DP 1140055, Maitland Street, Kurri Kurri, be continued and run concurrently with the search for a suitable alternative netball site.</w:t>
      </w:r>
      <w:r>
        <w:rPr>
          <w:i/>
          <w:lang w:eastAsia="en-AU"/>
        </w:rPr>
        <w:t>”</w:t>
      </w:r>
    </w:p>
    <w:p w14:paraId="4105B3CB" w14:textId="2B84381C" w:rsidR="00DD482E" w:rsidRDefault="00DD482E" w:rsidP="00DD482E">
      <w:r>
        <w:t xml:space="preserve">A planning proposal was subsequently forwarded to </w:t>
      </w:r>
      <w:r w:rsidR="00E6127A">
        <w:t>the Department of Planning, Industry and Environment (</w:t>
      </w:r>
      <w:r>
        <w:t>DPI</w:t>
      </w:r>
      <w:r w:rsidR="00A931F4">
        <w:t>E</w:t>
      </w:r>
      <w:r w:rsidR="00E6127A">
        <w:t>)</w:t>
      </w:r>
      <w:r w:rsidR="00A931F4">
        <w:t xml:space="preserve"> on 24 July 2020. The</w:t>
      </w:r>
      <w:r>
        <w:t xml:space="preserve"> proposal included the reclassification and rezoning of the Molly</w:t>
      </w:r>
      <w:r w:rsidR="00A931F4">
        <w:t xml:space="preserve"> Worthington Netball Courts</w:t>
      </w:r>
      <w:r>
        <w:t xml:space="preserve"> along with several other sites identified by Council for </w:t>
      </w:r>
      <w:r w:rsidR="00A931F4">
        <w:t>reclassification and rezoning</w:t>
      </w:r>
      <w:r>
        <w:t xml:space="preserve">. </w:t>
      </w:r>
    </w:p>
    <w:p w14:paraId="12CF3848" w14:textId="7A70FDC3" w:rsidR="00DD482E" w:rsidRDefault="00DD482E" w:rsidP="00DD482E">
      <w:r>
        <w:t>A Gateway determination was issued for the planning proposal on 10 November 2020</w:t>
      </w:r>
      <w:r w:rsidR="00A931F4">
        <w:t xml:space="preserve">, </w:t>
      </w:r>
      <w:r w:rsidRPr="00876078">
        <w:t>PP_2020_CESSN_003_00</w:t>
      </w:r>
      <w:r w:rsidR="00A931F4">
        <w:t>. However,</w:t>
      </w:r>
      <w:r>
        <w:t xml:space="preserve"> condition 1(a) of the </w:t>
      </w:r>
      <w:r w:rsidR="00A931F4">
        <w:t xml:space="preserve">Gateway </w:t>
      </w:r>
      <w:r>
        <w:t xml:space="preserve">determination required Council to </w:t>
      </w:r>
      <w:r w:rsidR="00A931F4">
        <w:t>remove</w:t>
      </w:r>
      <w:r>
        <w:t xml:space="preserve"> </w:t>
      </w:r>
      <w:r w:rsidRPr="00BF05EE">
        <w:t>Molly Worthington Netball Courts</w:t>
      </w:r>
      <w:r>
        <w:t xml:space="preserve"> from the planning proposal</w:t>
      </w:r>
      <w:r w:rsidRPr="00BF05EE">
        <w:t>.</w:t>
      </w:r>
      <w:r>
        <w:t xml:space="preserve"> In the letter supporting the Gateway determination</w:t>
      </w:r>
      <w:r w:rsidRPr="00BF05EE">
        <w:t xml:space="preserve">, DPIE advised that the reclassification of Molly Worthington Netball Courts </w:t>
      </w:r>
      <w:r w:rsidR="00A931F4">
        <w:t>was</w:t>
      </w:r>
      <w:r w:rsidRPr="00BF05EE">
        <w:t xml:space="preserve"> considered premature. </w:t>
      </w:r>
      <w:r w:rsidR="00A931F4">
        <w:t>Furthermore, DPIE advised that t</w:t>
      </w:r>
      <w:r w:rsidRPr="00BF05EE">
        <w:t xml:space="preserve">he proposal for </w:t>
      </w:r>
      <w:r w:rsidR="00A931F4">
        <w:t>Molly Worthington Netball Courts was</w:t>
      </w:r>
      <w:r w:rsidRPr="00BF05EE">
        <w:t xml:space="preserve"> inconsisten</w:t>
      </w:r>
      <w:r w:rsidR="00A931F4">
        <w:t>t with Practice Note PN 16-001 and that a</w:t>
      </w:r>
      <w:r w:rsidRPr="00BF05EE">
        <w:t>n alternative site for the public open space facilities should be secured prior to progressing with any</w:t>
      </w:r>
      <w:r w:rsidR="00A931F4">
        <w:t xml:space="preserve"> reclassification and rezoning of the land.</w:t>
      </w:r>
    </w:p>
    <w:p w14:paraId="32AEEB36" w14:textId="3B19F7DB" w:rsidR="00DD482E" w:rsidRDefault="00A931F4" w:rsidP="00DD482E">
      <w:r>
        <w:t>In response, a</w:t>
      </w:r>
      <w:r w:rsidR="00DD482E">
        <w:t>t the ordinary meeting of Council on 19 May 2021 (WI30/2021)</w:t>
      </w:r>
      <w:r>
        <w:t xml:space="preserve"> Council</w:t>
      </w:r>
      <w:r w:rsidR="00DD482E">
        <w:t xml:space="preserve"> resolved to endorse Booth Park</w:t>
      </w:r>
      <w:r w:rsidR="00E6127A">
        <w:t xml:space="preserve">, </w:t>
      </w:r>
      <w:r>
        <w:t xml:space="preserve">at </w:t>
      </w:r>
      <w:r w:rsidRPr="00A931F4">
        <w:t xml:space="preserve">37 Hopetoun Street </w:t>
      </w:r>
      <w:r>
        <w:t>Kurri Kurri,</w:t>
      </w:r>
      <w:r w:rsidR="00DD482E">
        <w:t xml:space="preserve"> as the alternative location for the netball courts</w:t>
      </w:r>
      <w:r w:rsidR="00E6127A">
        <w:t xml:space="preserve"> and proceed to lodge a new planning p</w:t>
      </w:r>
      <w:r w:rsidR="001C5F51">
        <w:t xml:space="preserve">roposal with DPIE to </w:t>
      </w:r>
      <w:r w:rsidR="00E6127A">
        <w:t>reclassify the Molly Worthington Netball Courts site.</w:t>
      </w:r>
    </w:p>
    <w:p w14:paraId="1B878D0D" w14:textId="77777777" w:rsidR="00C64EB3" w:rsidRDefault="00C64EB3">
      <w:pPr>
        <w:autoSpaceDE/>
        <w:autoSpaceDN/>
        <w:adjustRightInd/>
        <w:spacing w:after="0"/>
        <w:jc w:val="left"/>
        <w:rPr>
          <w:b/>
          <w:sz w:val="36"/>
          <w:szCs w:val="36"/>
          <w:lang w:eastAsia="en-AU"/>
        </w:rPr>
      </w:pPr>
      <w:bookmarkStart w:id="2" w:name="_Toc418240877"/>
      <w:r>
        <w:br w:type="page"/>
      </w:r>
    </w:p>
    <w:p w14:paraId="4F8E8855" w14:textId="7D1B4DE0" w:rsidR="000C459D" w:rsidRPr="00C64E6D" w:rsidRDefault="002879C9" w:rsidP="008D05E3">
      <w:pPr>
        <w:pStyle w:val="Heading1"/>
        <w:pBdr>
          <w:bottom w:val="single" w:sz="4" w:space="1" w:color="auto"/>
        </w:pBdr>
        <w:rPr>
          <w:bCs/>
        </w:rPr>
      </w:pPr>
      <w:bookmarkStart w:id="3" w:name="_Toc80259519"/>
      <w:r>
        <w:lastRenderedPageBreak/>
        <w:t>Part 2: Explanation</w:t>
      </w:r>
      <w:r w:rsidR="000C459D" w:rsidRPr="00C64E6D">
        <w:t xml:space="preserve"> of </w:t>
      </w:r>
      <w:bookmarkEnd w:id="2"/>
      <w:r>
        <w:t>Provisions</w:t>
      </w:r>
      <w:bookmarkEnd w:id="3"/>
    </w:p>
    <w:p w14:paraId="2A111593" w14:textId="77777777" w:rsidR="000C459D" w:rsidRPr="000559F4" w:rsidRDefault="000C459D" w:rsidP="00A045F7">
      <w:pPr>
        <w:rPr>
          <w:vanish/>
          <w:color w:val="FF0000"/>
          <w:lang w:eastAsia="en-AU"/>
        </w:rPr>
      </w:pPr>
      <w:r w:rsidRPr="000559F4">
        <w:rPr>
          <w:vanish/>
          <w:color w:val="FF0000"/>
          <w:lang w:eastAsia="en-AU"/>
        </w:rPr>
        <w:t>The explanation of provisions are an explicit statement of how the objectives or intended outcomes are to be achieved by means of new controls on development imposed via an LEP.</w:t>
      </w:r>
    </w:p>
    <w:p w14:paraId="6C756312" w14:textId="43EB2922" w:rsidR="005938AE" w:rsidRDefault="00714E34" w:rsidP="005938AE">
      <w:r>
        <w:t xml:space="preserve">The provisions of the Planning Proposal will amend the Cessnock LEP 2011 as outlined </w:t>
      </w:r>
      <w:r w:rsidR="004A73DB">
        <w:t xml:space="preserve">in </w:t>
      </w:r>
      <w:r w:rsidR="004A73DB" w:rsidRPr="001C5F51">
        <w:rPr>
          <w:b/>
        </w:rPr>
        <w:t>Table 1</w:t>
      </w:r>
      <w:r w:rsidR="004A73DB">
        <w:t xml:space="preserve"> below. </w:t>
      </w:r>
    </w:p>
    <w:p w14:paraId="6E668BFE" w14:textId="151D65E6" w:rsidR="00714E34" w:rsidRPr="00FB3972" w:rsidRDefault="004A73DB" w:rsidP="004A73DB">
      <w:pPr>
        <w:pStyle w:val="Caption"/>
        <w:rPr>
          <w:sz w:val="22"/>
          <w:szCs w:val="20"/>
        </w:rPr>
      </w:pPr>
      <w:bookmarkStart w:id="4" w:name="_Toc80259539"/>
      <w:r w:rsidRPr="00FB3972">
        <w:rPr>
          <w:sz w:val="22"/>
          <w:szCs w:val="20"/>
        </w:rPr>
        <w:t xml:space="preserve">Table </w:t>
      </w:r>
      <w:r w:rsidRPr="00FB3972">
        <w:rPr>
          <w:sz w:val="22"/>
          <w:szCs w:val="20"/>
        </w:rPr>
        <w:fldChar w:fldCharType="begin"/>
      </w:r>
      <w:r w:rsidRPr="00FB3972">
        <w:rPr>
          <w:sz w:val="22"/>
          <w:szCs w:val="20"/>
        </w:rPr>
        <w:instrText xml:space="preserve"> SEQ Table \* ARABIC </w:instrText>
      </w:r>
      <w:r w:rsidRPr="00FB3972">
        <w:rPr>
          <w:sz w:val="22"/>
          <w:szCs w:val="20"/>
        </w:rPr>
        <w:fldChar w:fldCharType="separate"/>
      </w:r>
      <w:r w:rsidR="003D791F">
        <w:rPr>
          <w:noProof/>
          <w:sz w:val="22"/>
          <w:szCs w:val="20"/>
        </w:rPr>
        <w:t>1</w:t>
      </w:r>
      <w:r w:rsidRPr="00FB3972">
        <w:rPr>
          <w:sz w:val="22"/>
          <w:szCs w:val="20"/>
        </w:rPr>
        <w:fldChar w:fldCharType="end"/>
      </w:r>
      <w:r w:rsidR="00714E34" w:rsidRPr="00FB3972">
        <w:rPr>
          <w:sz w:val="22"/>
          <w:szCs w:val="20"/>
        </w:rPr>
        <w:t>: Explanation of Provisions</w:t>
      </w:r>
      <w:bookmarkEnd w:id="4"/>
    </w:p>
    <w:tbl>
      <w:tblPr>
        <w:tblStyle w:val="TableGrid"/>
        <w:tblW w:w="0" w:type="auto"/>
        <w:tblLook w:val="04A0" w:firstRow="1" w:lastRow="0" w:firstColumn="1" w:lastColumn="0" w:noHBand="0" w:noVBand="1"/>
      </w:tblPr>
      <w:tblGrid>
        <w:gridCol w:w="4957"/>
        <w:gridCol w:w="5386"/>
      </w:tblGrid>
      <w:tr w:rsidR="00714E34" w:rsidRPr="00714E34" w14:paraId="419C4F8A" w14:textId="77777777" w:rsidTr="003138CD">
        <w:trPr>
          <w:trHeight w:val="567"/>
        </w:trPr>
        <w:tc>
          <w:tcPr>
            <w:tcW w:w="4957" w:type="dxa"/>
            <w:vAlign w:val="center"/>
          </w:tcPr>
          <w:p w14:paraId="6F15832F" w14:textId="48C0B301" w:rsidR="00714E34" w:rsidRPr="00714E34" w:rsidRDefault="006B3110" w:rsidP="006B3110">
            <w:pPr>
              <w:spacing w:after="0"/>
              <w:jc w:val="left"/>
              <w:rPr>
                <w:b/>
              </w:rPr>
            </w:pPr>
            <w:r>
              <w:rPr>
                <w:b/>
              </w:rPr>
              <w:t>Property Description.</w:t>
            </w:r>
          </w:p>
        </w:tc>
        <w:tc>
          <w:tcPr>
            <w:tcW w:w="5386" w:type="dxa"/>
            <w:vAlign w:val="center"/>
          </w:tcPr>
          <w:p w14:paraId="2756A247" w14:textId="77777777" w:rsidR="00714E34" w:rsidRPr="00714E34" w:rsidRDefault="00714E34" w:rsidP="006B3110">
            <w:pPr>
              <w:spacing w:after="0"/>
              <w:jc w:val="left"/>
              <w:rPr>
                <w:b/>
              </w:rPr>
            </w:pPr>
            <w:r w:rsidRPr="00714E34">
              <w:rPr>
                <w:b/>
              </w:rPr>
              <w:t>Explanation of Provisions</w:t>
            </w:r>
          </w:p>
        </w:tc>
      </w:tr>
      <w:tr w:rsidR="00881030" w14:paraId="5A4B6DE4" w14:textId="77777777" w:rsidTr="003138CD">
        <w:tc>
          <w:tcPr>
            <w:tcW w:w="4957" w:type="dxa"/>
          </w:tcPr>
          <w:p w14:paraId="32375B28" w14:textId="0890E58D" w:rsidR="00881030" w:rsidRPr="004A73DB" w:rsidRDefault="00FF3935" w:rsidP="00881030">
            <w:pPr>
              <w:spacing w:after="120"/>
              <w:jc w:val="left"/>
              <w:rPr>
                <w:b/>
                <w:bCs/>
              </w:rPr>
            </w:pPr>
            <w:r>
              <w:rPr>
                <w:b/>
                <w:bCs/>
              </w:rPr>
              <w:t>Name</w:t>
            </w:r>
            <w:r w:rsidR="00881030" w:rsidRPr="004A73DB">
              <w:rPr>
                <w:b/>
                <w:bCs/>
              </w:rPr>
              <w:t>:</w:t>
            </w:r>
            <w:r w:rsidR="00881030">
              <w:rPr>
                <w:b/>
                <w:bCs/>
              </w:rPr>
              <w:t xml:space="preserve"> </w:t>
            </w:r>
            <w:r w:rsidR="00FA1771">
              <w:rPr>
                <w:bCs/>
              </w:rPr>
              <w:t>Molly Worthington</w:t>
            </w:r>
            <w:r w:rsidR="00881030" w:rsidRPr="00881030">
              <w:rPr>
                <w:bCs/>
              </w:rPr>
              <w:t xml:space="preserve"> Netball Courts – Public Reserve</w:t>
            </w:r>
          </w:p>
          <w:p w14:paraId="10B0DAA3" w14:textId="20F9BE31" w:rsidR="00881030" w:rsidRPr="004061BA" w:rsidRDefault="00881030" w:rsidP="00881030">
            <w:pPr>
              <w:spacing w:after="120"/>
              <w:jc w:val="left"/>
            </w:pPr>
            <w:r w:rsidRPr="004A73DB">
              <w:rPr>
                <w:b/>
                <w:bCs/>
              </w:rPr>
              <w:t>Address:</w:t>
            </w:r>
            <w:r>
              <w:t xml:space="preserve"> </w:t>
            </w:r>
            <w:r w:rsidRPr="004061BA">
              <w:t xml:space="preserve">101 </w:t>
            </w:r>
            <w:r w:rsidR="009368B8">
              <w:t xml:space="preserve">Maitland Street </w:t>
            </w:r>
            <w:r w:rsidRPr="004061BA">
              <w:t xml:space="preserve">and </w:t>
            </w:r>
            <w:r w:rsidR="00FF3935">
              <w:t>P</w:t>
            </w:r>
            <w:r w:rsidR="00F2592E">
              <w:t xml:space="preserve">art of </w:t>
            </w:r>
            <w:r w:rsidRPr="004061BA">
              <w:t xml:space="preserve">107 </w:t>
            </w:r>
            <w:r w:rsidR="009368B8">
              <w:t>Lang</w:t>
            </w:r>
            <w:r w:rsidRPr="004061BA">
              <w:t xml:space="preserve"> Street, </w:t>
            </w:r>
            <w:r w:rsidR="00FE190D">
              <w:t>Kurri Kurri</w:t>
            </w:r>
          </w:p>
          <w:p w14:paraId="6BC04F2B" w14:textId="1EC70C69" w:rsidR="00881030" w:rsidRDefault="00881030" w:rsidP="00881030">
            <w:pPr>
              <w:spacing w:after="120"/>
              <w:jc w:val="left"/>
            </w:pPr>
            <w:r w:rsidRPr="004A73DB">
              <w:rPr>
                <w:b/>
                <w:bCs/>
              </w:rPr>
              <w:t>Title:</w:t>
            </w:r>
            <w:r>
              <w:t xml:space="preserve"> Lot 5 and Lot </w:t>
            </w:r>
            <w:r w:rsidRPr="004061BA">
              <w:t>7 DP 1140055</w:t>
            </w:r>
          </w:p>
          <w:p w14:paraId="56F000D4" w14:textId="77777777" w:rsidR="00881030" w:rsidRDefault="00881030" w:rsidP="00881030">
            <w:pPr>
              <w:spacing w:after="120"/>
              <w:jc w:val="left"/>
            </w:pPr>
            <w:r w:rsidRPr="003138CD">
              <w:rPr>
                <w:b/>
              </w:rPr>
              <w:t>Internal ID:</w:t>
            </w:r>
            <w:r w:rsidR="00FA1771">
              <w:rPr>
                <w:b/>
              </w:rPr>
              <w:t xml:space="preserve"> </w:t>
            </w:r>
            <w:r w:rsidR="00FA1771" w:rsidRPr="00FA1771">
              <w:t>507709 and 507711</w:t>
            </w:r>
          </w:p>
          <w:p w14:paraId="0079678E" w14:textId="33C15369" w:rsidR="00E26FE2" w:rsidRDefault="00E26FE2" w:rsidP="00881030">
            <w:pPr>
              <w:spacing w:after="120"/>
              <w:jc w:val="left"/>
              <w:rPr>
                <w:b/>
                <w:bCs/>
              </w:rPr>
            </w:pPr>
            <w:r w:rsidRPr="00E26FE2">
              <w:rPr>
                <w:b/>
              </w:rPr>
              <w:t>Note:</w:t>
            </w:r>
            <w:r>
              <w:t xml:space="preserve"> The property was vested to Council by way of Government Gazette on 3 September 1976.</w:t>
            </w:r>
          </w:p>
        </w:tc>
        <w:tc>
          <w:tcPr>
            <w:tcW w:w="5386" w:type="dxa"/>
          </w:tcPr>
          <w:p w14:paraId="5503B60F" w14:textId="570CB01B" w:rsidR="00881030" w:rsidRDefault="00881030" w:rsidP="00881030">
            <w:pPr>
              <w:spacing w:after="120"/>
            </w:pPr>
            <w:r w:rsidRPr="004061BA">
              <w:t xml:space="preserve">Reclassify the site </w:t>
            </w:r>
            <w:r w:rsidR="001C5F51">
              <w:rPr>
                <w:lang w:eastAsia="en-AU"/>
              </w:rPr>
              <w:t>f</w:t>
            </w:r>
            <w:r w:rsidR="00A06C1E">
              <w:rPr>
                <w:lang w:eastAsia="en-AU"/>
              </w:rPr>
              <w:t>rom “Community” to “Operational”</w:t>
            </w:r>
            <w:r w:rsidR="001C5F51">
              <w:rPr>
                <w:lang w:eastAsia="en-AU"/>
              </w:rPr>
              <w:t>.</w:t>
            </w:r>
          </w:p>
          <w:p w14:paraId="4C866131" w14:textId="6595A128" w:rsidR="00A16A9A" w:rsidRDefault="00A16A9A" w:rsidP="00873634">
            <w:pPr>
              <w:spacing w:after="120"/>
            </w:pPr>
          </w:p>
        </w:tc>
      </w:tr>
    </w:tbl>
    <w:p w14:paraId="1C0C78F1" w14:textId="6F563DAE" w:rsidR="00714E34" w:rsidRDefault="00714E34" w:rsidP="00C64EB3">
      <w:pPr>
        <w:spacing w:after="0"/>
        <w:rPr>
          <w:lang w:eastAsia="en-AU"/>
        </w:rPr>
      </w:pPr>
    </w:p>
    <w:p w14:paraId="258881D5" w14:textId="700F9049" w:rsidR="000C459D" w:rsidRPr="00C64E6D" w:rsidRDefault="002879C9" w:rsidP="008D05E3">
      <w:pPr>
        <w:pStyle w:val="Heading1"/>
        <w:rPr>
          <w:bCs/>
        </w:rPr>
      </w:pPr>
      <w:bookmarkStart w:id="5" w:name="_Toc418240878"/>
      <w:bookmarkStart w:id="6" w:name="_Toc80259520"/>
      <w:bookmarkStart w:id="7" w:name="_Toc298420616"/>
      <w:r>
        <w:t>Part</w:t>
      </w:r>
      <w:r w:rsidR="000C459D" w:rsidRPr="00C64E6D">
        <w:t xml:space="preserve"> 3:</w:t>
      </w:r>
      <w:bookmarkEnd w:id="5"/>
      <w:r w:rsidR="00B60C9F">
        <w:t xml:space="preserve"> </w:t>
      </w:r>
      <w:r>
        <w:t>Justification</w:t>
      </w:r>
      <w:bookmarkEnd w:id="6"/>
      <w:r>
        <w:t xml:space="preserve"> </w:t>
      </w:r>
    </w:p>
    <w:bookmarkEnd w:id="7"/>
    <w:p w14:paraId="00E983EA" w14:textId="77777777" w:rsidR="000C459D" w:rsidRPr="000559F4" w:rsidRDefault="000C459D" w:rsidP="00A045F7">
      <w:pPr>
        <w:rPr>
          <w:vanish/>
          <w:color w:val="FF0000"/>
          <w:lang w:eastAsia="en-AU"/>
        </w:rPr>
      </w:pPr>
      <w:r w:rsidRPr="000559F4">
        <w:rPr>
          <w:vanish/>
          <w:color w:val="FF0000"/>
          <w:lang w:eastAsia="en-AU"/>
        </w:rPr>
        <w:t>The justification sets out the case for changing the zones and/or development controls on the land affected by the proposed LEP.  Within the justification there are a number of specific questions that must be discussed with reasons explained.</w:t>
      </w:r>
    </w:p>
    <w:p w14:paraId="19765455" w14:textId="0C71C7D4" w:rsidR="000C459D" w:rsidRPr="002D59F9" w:rsidRDefault="000C459D" w:rsidP="00A045F7">
      <w:r w:rsidRPr="002D59F9">
        <w:t xml:space="preserve">In accordance with </w:t>
      </w:r>
      <w:r w:rsidR="00E6127A">
        <w:t xml:space="preserve">DPIE’s </w:t>
      </w:r>
      <w:r w:rsidRPr="002D59F9">
        <w:t>“Guide to Preparing Planning Proposals”</w:t>
      </w:r>
      <w:r w:rsidR="00064190">
        <w:t xml:space="preserve"> and the LEP Practice Note PN 16-001 “Classification and reclassification of public land through a local environmental plan”</w:t>
      </w:r>
      <w:r w:rsidRPr="002D59F9">
        <w:t>, this section provides a response to the following issues:</w:t>
      </w:r>
    </w:p>
    <w:p w14:paraId="6B8DF211" w14:textId="77777777" w:rsidR="000C459D" w:rsidRPr="00A2385F" w:rsidRDefault="000C459D" w:rsidP="004E63EF">
      <w:pPr>
        <w:pStyle w:val="ListParagraph"/>
        <w:numPr>
          <w:ilvl w:val="0"/>
          <w:numId w:val="5"/>
        </w:numPr>
      </w:pPr>
      <w:r w:rsidRPr="00A2385F">
        <w:t>Section A:</w:t>
      </w:r>
      <w:r w:rsidRPr="00A2385F">
        <w:tab/>
        <w:t>Need for Proposal;</w:t>
      </w:r>
    </w:p>
    <w:p w14:paraId="3F8C782D" w14:textId="77777777" w:rsidR="000C459D" w:rsidRPr="00A2385F" w:rsidRDefault="000C459D" w:rsidP="004E63EF">
      <w:pPr>
        <w:pStyle w:val="ListParagraph"/>
        <w:numPr>
          <w:ilvl w:val="0"/>
          <w:numId w:val="5"/>
        </w:numPr>
      </w:pPr>
      <w:r w:rsidRPr="00A2385F">
        <w:t>Section B:</w:t>
      </w:r>
      <w:r w:rsidRPr="00A2385F">
        <w:tab/>
        <w:t>Relationship to Strategic Planning Framework;</w:t>
      </w:r>
    </w:p>
    <w:p w14:paraId="0AEB35E3" w14:textId="77777777" w:rsidR="000C459D" w:rsidRPr="00A2385F" w:rsidRDefault="000C459D" w:rsidP="004E63EF">
      <w:pPr>
        <w:pStyle w:val="ListParagraph"/>
        <w:numPr>
          <w:ilvl w:val="0"/>
          <w:numId w:val="5"/>
        </w:numPr>
      </w:pPr>
      <w:r w:rsidRPr="00A2385F">
        <w:t>Section C:</w:t>
      </w:r>
      <w:r w:rsidRPr="00A2385F">
        <w:tab/>
        <w:t xml:space="preserve">Environmental, Social and Economic Impact; and </w:t>
      </w:r>
    </w:p>
    <w:p w14:paraId="7C7EE947" w14:textId="2E36A199" w:rsidR="000C459D" w:rsidRDefault="000C459D" w:rsidP="004E63EF">
      <w:pPr>
        <w:pStyle w:val="ListParagraph"/>
        <w:numPr>
          <w:ilvl w:val="0"/>
          <w:numId w:val="5"/>
        </w:numPr>
      </w:pPr>
      <w:r w:rsidRPr="00A2385F">
        <w:t>Section D:</w:t>
      </w:r>
      <w:r w:rsidRPr="00A2385F">
        <w:tab/>
        <w:t>State and Commonwealth Interests</w:t>
      </w:r>
    </w:p>
    <w:p w14:paraId="2BC84241" w14:textId="77777777" w:rsidR="000C459D" w:rsidRPr="00F32E8C" w:rsidRDefault="00B60C9F" w:rsidP="00F32E8C">
      <w:pPr>
        <w:pStyle w:val="Heading2"/>
      </w:pPr>
      <w:bookmarkStart w:id="8" w:name="_Toc418240879"/>
      <w:bookmarkStart w:id="9" w:name="_Toc80259521"/>
      <w:r>
        <w:t xml:space="preserve">Section A: </w:t>
      </w:r>
      <w:r w:rsidR="000C459D" w:rsidRPr="00F32E8C">
        <w:t>Need for Proposal</w:t>
      </w:r>
      <w:bookmarkEnd w:id="8"/>
      <w:bookmarkEnd w:id="9"/>
    </w:p>
    <w:p w14:paraId="3CA27C06" w14:textId="77777777" w:rsidR="000C459D" w:rsidRPr="00F32E8C" w:rsidRDefault="000C459D" w:rsidP="006008AA">
      <w:pPr>
        <w:pStyle w:val="Heading3"/>
      </w:pPr>
      <w:bookmarkStart w:id="10" w:name="_Toc80259522"/>
      <w:r w:rsidRPr="00F32E8C">
        <w:t>Resulting from a Strategic Study or Report</w:t>
      </w:r>
      <w:bookmarkEnd w:id="10"/>
    </w:p>
    <w:p w14:paraId="58D931B4" w14:textId="06C43306" w:rsidR="00D107EC" w:rsidRDefault="003D5D53" w:rsidP="00637909">
      <w:r>
        <w:t xml:space="preserve">The Planning Proposal </w:t>
      </w:r>
      <w:r w:rsidR="00E6127A">
        <w:t>is the result of</w:t>
      </w:r>
      <w:r w:rsidR="00414C43">
        <w:t xml:space="preserve"> a </w:t>
      </w:r>
      <w:r w:rsidR="00E6127A">
        <w:t xml:space="preserve">strategic property </w:t>
      </w:r>
      <w:r w:rsidR="0034740D">
        <w:t>review of Council’s property assets undertaken in 201</w:t>
      </w:r>
      <w:r w:rsidR="00637909">
        <w:t xml:space="preserve">8 and </w:t>
      </w:r>
      <w:r w:rsidR="00A16A9A">
        <w:t>2019</w:t>
      </w:r>
      <w:r w:rsidR="00D107EC">
        <w:t xml:space="preserve">. </w:t>
      </w:r>
      <w:r w:rsidR="0007499D">
        <w:t>Property reviews are carried out by Council</w:t>
      </w:r>
      <w:r w:rsidR="00E6127A">
        <w:t xml:space="preserve"> from time to time</w:t>
      </w:r>
      <w:r w:rsidR="0007499D">
        <w:t xml:space="preserve"> </w:t>
      </w:r>
      <w:r w:rsidR="00D107EC">
        <w:t>to ensure</w:t>
      </w:r>
      <w:r w:rsidR="0007499D">
        <w:t xml:space="preserve"> its</w:t>
      </w:r>
      <w:r w:rsidR="0034740D">
        <w:t xml:space="preserve"> assets continue to meet community needs and are fit for pu</w:t>
      </w:r>
      <w:r w:rsidR="00320310">
        <w:t xml:space="preserve">rpose. </w:t>
      </w:r>
      <w:r w:rsidR="004C2D9F">
        <w:t xml:space="preserve">The </w:t>
      </w:r>
      <w:r w:rsidR="00D107EC">
        <w:t>review</w:t>
      </w:r>
      <w:r w:rsidR="004C2D9F">
        <w:t xml:space="preserve"> considered the </w:t>
      </w:r>
      <w:r w:rsidR="00D107EC">
        <w:t>recommendations of Council’s</w:t>
      </w:r>
      <w:r w:rsidR="00883C3D">
        <w:t xml:space="preserve"> </w:t>
      </w:r>
      <w:hyperlink r:id="rId9" w:history="1">
        <w:r w:rsidR="00883C3D" w:rsidRPr="00D0021A">
          <w:rPr>
            <w:rStyle w:val="Hyperlink"/>
            <w:i/>
          </w:rPr>
          <w:t>Recreation and Open Space Strategic Plan</w:t>
        </w:r>
      </w:hyperlink>
      <w:r w:rsidR="00A16A9A">
        <w:rPr>
          <w:i/>
        </w:rPr>
        <w:t xml:space="preserve"> (</w:t>
      </w:r>
      <w:r w:rsidR="00FB3972">
        <w:rPr>
          <w:i/>
        </w:rPr>
        <w:t>ROSSP)</w:t>
      </w:r>
      <w:r w:rsidR="00D107EC">
        <w:rPr>
          <w:i/>
        </w:rPr>
        <w:t>,</w:t>
      </w:r>
      <w:r w:rsidR="00FB3972">
        <w:rPr>
          <w:i/>
        </w:rPr>
        <w:t xml:space="preserve"> </w:t>
      </w:r>
      <w:r w:rsidR="00FB3972" w:rsidRPr="00FB3972">
        <w:t xml:space="preserve">as </w:t>
      </w:r>
      <w:r w:rsidR="00D107EC">
        <w:t>amended</w:t>
      </w:r>
      <w:r w:rsidR="00A16A9A" w:rsidRPr="00FB3972">
        <w:t xml:space="preserve"> in November 2019</w:t>
      </w:r>
      <w:r w:rsidR="00883C3D" w:rsidRPr="00FB3972">
        <w:t>.</w:t>
      </w:r>
      <w:r w:rsidR="00883C3D">
        <w:t xml:space="preserve"> </w:t>
      </w:r>
    </w:p>
    <w:p w14:paraId="7694391F" w14:textId="2D56F6AA" w:rsidR="00E6127A" w:rsidRDefault="00E6127A" w:rsidP="00A4677D">
      <w:r>
        <w:t xml:space="preserve">The </w:t>
      </w:r>
      <w:r w:rsidR="00BF05EE">
        <w:t>Molly Worthington Netball Courts</w:t>
      </w:r>
      <w:r w:rsidR="00A4677D">
        <w:t xml:space="preserve"> </w:t>
      </w:r>
      <w:r>
        <w:t xml:space="preserve">site </w:t>
      </w:r>
      <w:r w:rsidR="00A4677D">
        <w:t>was vested to Council as a public reserve by way of Government Gazette on 3 September 1976. Lot 5 is approximately 765m</w:t>
      </w:r>
      <w:r w:rsidR="00A4677D">
        <w:rPr>
          <w:vertAlign w:val="superscript"/>
        </w:rPr>
        <w:t>2</w:t>
      </w:r>
      <w:r w:rsidR="00A4677D">
        <w:t xml:space="preserve"> and Lot 7 is approximately 1.18ha.  The land is known as Molly Worthington Netball Courts and was identified by for reclassification and rezoning by Council via the Strategic Property Committee.  It is proposed to reclassify the site </w:t>
      </w:r>
      <w:r w:rsidR="001C5F51">
        <w:rPr>
          <w:lang w:eastAsia="en-AU"/>
        </w:rPr>
        <w:t>from “Community” to “Operational” land</w:t>
      </w:r>
      <w:r w:rsidR="001C5F51">
        <w:t xml:space="preserve"> and</w:t>
      </w:r>
      <w:r w:rsidR="00A4677D">
        <w:t xml:space="preserve"> remove the public reserve s</w:t>
      </w:r>
      <w:r w:rsidR="00A56064">
        <w:t>tatus</w:t>
      </w:r>
      <w:r w:rsidR="00A4677D">
        <w:t xml:space="preserve">.  </w:t>
      </w:r>
    </w:p>
    <w:p w14:paraId="69B94CFA" w14:textId="3E5F9471" w:rsidR="00A4677D" w:rsidRDefault="00A4677D" w:rsidP="00A4677D">
      <w:r>
        <w:t>The reclassi</w:t>
      </w:r>
      <w:r w:rsidR="001C5F51">
        <w:t>fication</w:t>
      </w:r>
      <w:r>
        <w:t xml:space="preserve"> of the site will not impact on the ability of the site to operate as netball courts</w:t>
      </w:r>
      <w:r w:rsidR="001C5F51">
        <w:t xml:space="preserve"> until such time as it is</w:t>
      </w:r>
      <w:r w:rsidR="00E6127A">
        <w:t xml:space="preserve"> relocated</w:t>
      </w:r>
      <w:r w:rsidR="001C5F51">
        <w:t xml:space="preserve"> to Booth Park</w:t>
      </w:r>
      <w:r w:rsidR="00E6127A">
        <w:t>.</w:t>
      </w:r>
    </w:p>
    <w:p w14:paraId="1094F762" w14:textId="77777777" w:rsidR="000C459D" w:rsidRPr="00A2385F" w:rsidRDefault="000C459D" w:rsidP="006008AA">
      <w:pPr>
        <w:pStyle w:val="Heading3"/>
      </w:pPr>
      <w:bookmarkStart w:id="11" w:name="_Toc80259523"/>
      <w:r w:rsidRPr="00A2385F">
        <w:t>Planning Pr</w:t>
      </w:r>
      <w:r w:rsidR="000172A5">
        <w:t>oposal as best way to achieve the</w:t>
      </w:r>
      <w:r w:rsidRPr="00A2385F">
        <w:t xml:space="preserve"> objectives</w:t>
      </w:r>
      <w:bookmarkEnd w:id="11"/>
    </w:p>
    <w:p w14:paraId="3DE329C4" w14:textId="75D82A16" w:rsidR="000C459D" w:rsidRDefault="0061433A" w:rsidP="00A045F7">
      <w:r>
        <w:t xml:space="preserve">The intended outcomes relate to amendments to the Cessnock LEP 2011. The Planning Proposal </w:t>
      </w:r>
      <w:r w:rsidR="008069C1">
        <w:t>seeks</w:t>
      </w:r>
      <w:r>
        <w:t xml:space="preserve"> to </w:t>
      </w:r>
      <w:r w:rsidR="00CC4E44">
        <w:t xml:space="preserve">reclassify </w:t>
      </w:r>
      <w:r w:rsidR="008069C1" w:rsidRPr="004061BA">
        <w:t xml:space="preserve">101 </w:t>
      </w:r>
      <w:r w:rsidR="008069C1">
        <w:t xml:space="preserve">Maitland Street </w:t>
      </w:r>
      <w:r w:rsidR="008069C1" w:rsidRPr="004061BA">
        <w:t xml:space="preserve">and </w:t>
      </w:r>
      <w:r w:rsidR="008069C1">
        <w:t xml:space="preserve">part of </w:t>
      </w:r>
      <w:r w:rsidR="008069C1" w:rsidRPr="004061BA">
        <w:t xml:space="preserve">107 </w:t>
      </w:r>
      <w:r w:rsidR="008069C1">
        <w:t>Lang Street</w:t>
      </w:r>
      <w:r w:rsidR="008069C1" w:rsidRPr="004061BA">
        <w:t xml:space="preserve"> </w:t>
      </w:r>
      <w:r w:rsidR="008069C1">
        <w:t xml:space="preserve">Kurri Kurri </w:t>
      </w:r>
      <w:r w:rsidR="00295BCE">
        <w:rPr>
          <w:lang w:eastAsia="en-AU"/>
        </w:rPr>
        <w:t>from “Community” to “Operational”</w:t>
      </w:r>
      <w:r w:rsidR="00ED5B76">
        <w:t>.</w:t>
      </w:r>
      <w:r>
        <w:t xml:space="preserve"> </w:t>
      </w:r>
      <w:r w:rsidR="00295BCE">
        <w:t xml:space="preserve">A </w:t>
      </w:r>
      <w:r w:rsidR="008069C1" w:rsidRPr="00E6127A">
        <w:t xml:space="preserve">Planning proposal is </w:t>
      </w:r>
      <w:r w:rsidR="00E6127A" w:rsidRPr="00E6127A">
        <w:t>the only way to achieve Council’s objectives for the site</w:t>
      </w:r>
      <w:r w:rsidR="008069C1" w:rsidRPr="00E6127A">
        <w:t>.</w:t>
      </w:r>
    </w:p>
    <w:p w14:paraId="0940ADEF" w14:textId="115D6DDD" w:rsidR="00C64EB3" w:rsidRDefault="00C64EB3" w:rsidP="00C64EB3">
      <w:pPr>
        <w:spacing w:after="120"/>
      </w:pPr>
    </w:p>
    <w:p w14:paraId="4EC622C3" w14:textId="5E6BDFE0" w:rsidR="000C459D" w:rsidRPr="00F32E8C" w:rsidRDefault="00B60C9F" w:rsidP="00F32E8C">
      <w:pPr>
        <w:pStyle w:val="Heading2"/>
      </w:pPr>
      <w:bookmarkStart w:id="12" w:name="_Toc418240880"/>
      <w:bookmarkStart w:id="13" w:name="_Toc80259524"/>
      <w:r>
        <w:lastRenderedPageBreak/>
        <w:t xml:space="preserve">Section B: </w:t>
      </w:r>
      <w:r w:rsidR="000C459D" w:rsidRPr="00F32E8C">
        <w:t>Relationship to Strategic Planning Framework</w:t>
      </w:r>
      <w:bookmarkEnd w:id="12"/>
      <w:bookmarkEnd w:id="13"/>
    </w:p>
    <w:p w14:paraId="22307586" w14:textId="77777777" w:rsidR="000C459D" w:rsidRPr="00A2385F" w:rsidRDefault="000559F4" w:rsidP="006008AA">
      <w:pPr>
        <w:pStyle w:val="Heading3"/>
      </w:pPr>
      <w:bookmarkStart w:id="14" w:name="_Toc80259525"/>
      <w:r>
        <w:t>C</w:t>
      </w:r>
      <w:r w:rsidR="000C459D" w:rsidRPr="00A2385F">
        <w:t>onsistency with Objectives and Actions within Regional Strategies</w:t>
      </w:r>
      <w:bookmarkEnd w:id="14"/>
    </w:p>
    <w:p w14:paraId="381951A0" w14:textId="77777777" w:rsidR="000C459D" w:rsidRPr="00F32E8C" w:rsidRDefault="009E03B1" w:rsidP="00FE2E96">
      <w:pPr>
        <w:pStyle w:val="Heading4"/>
        <w:ind w:left="567"/>
      </w:pPr>
      <w:r>
        <w:t>Hunter Regional Plan 2036</w:t>
      </w:r>
    </w:p>
    <w:p w14:paraId="169E42EE" w14:textId="06534B52" w:rsidR="00026551" w:rsidRDefault="00026551" w:rsidP="001C5F51">
      <w:pPr>
        <w:rPr>
          <w:lang w:eastAsia="en-AU"/>
        </w:rPr>
      </w:pPr>
      <w:r>
        <w:rPr>
          <w:lang w:eastAsia="en-AU"/>
        </w:rPr>
        <w:t xml:space="preserve">The Planning Proposal seeks to make amendments to the Cessnock LEP </w:t>
      </w:r>
      <w:r w:rsidR="001C5F51">
        <w:rPr>
          <w:lang w:eastAsia="en-AU"/>
        </w:rPr>
        <w:t xml:space="preserve">to reclassify </w:t>
      </w:r>
      <w:r w:rsidR="001C5F51" w:rsidRPr="004061BA">
        <w:t xml:space="preserve">101 </w:t>
      </w:r>
      <w:r w:rsidR="001C5F51">
        <w:t xml:space="preserve">Maitland Street </w:t>
      </w:r>
      <w:r w:rsidR="001C5F51" w:rsidRPr="004061BA">
        <w:t xml:space="preserve">and </w:t>
      </w:r>
      <w:r w:rsidR="001C5F51">
        <w:t xml:space="preserve">part of </w:t>
      </w:r>
      <w:r w:rsidR="001C5F51" w:rsidRPr="004061BA">
        <w:t xml:space="preserve">107 </w:t>
      </w:r>
      <w:r w:rsidR="001C5F51">
        <w:t>Lang Street</w:t>
      </w:r>
      <w:r w:rsidR="001C5F51" w:rsidRPr="004061BA">
        <w:t xml:space="preserve"> </w:t>
      </w:r>
      <w:r w:rsidR="001C5F51">
        <w:t>Kurri Kurri from “Community” to “Operational” land</w:t>
      </w:r>
      <w:r w:rsidR="001C5F51">
        <w:rPr>
          <w:lang w:eastAsia="en-AU"/>
        </w:rPr>
        <w:t xml:space="preserve"> </w:t>
      </w:r>
      <w:r>
        <w:rPr>
          <w:lang w:eastAsia="en-AU"/>
        </w:rPr>
        <w:t>which will</w:t>
      </w:r>
      <w:r w:rsidR="001C5F51">
        <w:rPr>
          <w:lang w:eastAsia="en-AU"/>
        </w:rPr>
        <w:t xml:space="preserve"> eventually</w:t>
      </w:r>
      <w:r>
        <w:rPr>
          <w:lang w:eastAsia="en-AU"/>
        </w:rPr>
        <w:t xml:space="preserve"> facilitate infill d</w:t>
      </w:r>
      <w:r w:rsidR="0001009A">
        <w:rPr>
          <w:lang w:eastAsia="en-AU"/>
        </w:rPr>
        <w:t>evelopment consistent with the H</w:t>
      </w:r>
      <w:r>
        <w:rPr>
          <w:lang w:eastAsia="en-AU"/>
        </w:rPr>
        <w:t xml:space="preserve">unter Regional Plan. In particular the reclassification and potential </w:t>
      </w:r>
      <w:r w:rsidR="001C5F51">
        <w:rPr>
          <w:lang w:eastAsia="en-AU"/>
        </w:rPr>
        <w:t xml:space="preserve">future </w:t>
      </w:r>
      <w:r>
        <w:rPr>
          <w:lang w:eastAsia="en-AU"/>
        </w:rPr>
        <w:t xml:space="preserve">development of these sites for </w:t>
      </w:r>
      <w:r w:rsidR="008069C1">
        <w:rPr>
          <w:lang w:eastAsia="en-AU"/>
        </w:rPr>
        <w:t>urban</w:t>
      </w:r>
      <w:r>
        <w:rPr>
          <w:lang w:eastAsia="en-AU"/>
        </w:rPr>
        <w:t xml:space="preserve"> purposes is </w:t>
      </w:r>
      <w:r w:rsidR="001C5F51">
        <w:rPr>
          <w:lang w:eastAsia="en-AU"/>
        </w:rPr>
        <w:t>consistent with Direction 21, create a compact settlement of the Hunter Regional Plan 2036.</w:t>
      </w:r>
    </w:p>
    <w:p w14:paraId="7F67310C" w14:textId="73FD19AB" w:rsidR="00371D56" w:rsidRPr="00CC4E44" w:rsidRDefault="00371D56" w:rsidP="00371D56">
      <w:pPr>
        <w:rPr>
          <w:b/>
          <w:lang w:eastAsia="en-AU"/>
        </w:rPr>
      </w:pPr>
      <w:r w:rsidRPr="00CC4E44">
        <w:rPr>
          <w:b/>
          <w:lang w:eastAsia="en-AU"/>
        </w:rPr>
        <w:t>Greater Newcastle Metropolitan Plan</w:t>
      </w:r>
      <w:r w:rsidR="001C5F51">
        <w:rPr>
          <w:b/>
          <w:lang w:eastAsia="en-AU"/>
        </w:rPr>
        <w:t xml:space="preserve"> 2036</w:t>
      </w:r>
      <w:r w:rsidRPr="00CC4E44">
        <w:rPr>
          <w:b/>
          <w:lang w:eastAsia="en-AU"/>
        </w:rPr>
        <w:t xml:space="preserve"> </w:t>
      </w:r>
    </w:p>
    <w:p w14:paraId="4FCE9B66" w14:textId="75894575" w:rsidR="001C5F51" w:rsidRDefault="001C5F51" w:rsidP="001C5F51">
      <w:pPr>
        <w:rPr>
          <w:lang w:eastAsia="en-AU"/>
        </w:rPr>
      </w:pPr>
      <w:r>
        <w:rPr>
          <w:lang w:eastAsia="en-AU"/>
        </w:rPr>
        <w:t>The Planning Proposal is not in conflict with the strategies of the Greater Newcastle Metropolitan Plan 2036.</w:t>
      </w:r>
    </w:p>
    <w:p w14:paraId="01DB5FA1" w14:textId="77777777" w:rsidR="000C459D" w:rsidRPr="00A2385F" w:rsidRDefault="000C459D" w:rsidP="006008AA">
      <w:pPr>
        <w:pStyle w:val="Heading3"/>
        <w:rPr>
          <w:color w:val="000000"/>
        </w:rPr>
      </w:pPr>
      <w:bookmarkStart w:id="15" w:name="_Toc80259526"/>
      <w:r w:rsidRPr="00A2385F">
        <w:t>Consistency with Council’s Community Strategic Plan or other Local Strategic Plan</w:t>
      </w:r>
      <w:bookmarkEnd w:id="15"/>
    </w:p>
    <w:p w14:paraId="57F05F21" w14:textId="77777777" w:rsidR="000C459D" w:rsidRPr="00A2385F" w:rsidRDefault="000C459D" w:rsidP="00FE2E96">
      <w:pPr>
        <w:pStyle w:val="Heading4"/>
        <w:ind w:left="0" w:firstLine="0"/>
      </w:pPr>
      <w:r w:rsidRPr="00A2385F">
        <w:t>Community Strategic Plan - Our People, Our Place, Our Future</w:t>
      </w:r>
    </w:p>
    <w:p w14:paraId="3B7E654F" w14:textId="3DA29122" w:rsidR="000C459D" w:rsidRDefault="00B018F9" w:rsidP="00A045F7">
      <w:pPr>
        <w:rPr>
          <w:lang w:eastAsia="en-AU"/>
        </w:rPr>
      </w:pPr>
      <w:r>
        <w:rPr>
          <w:lang w:eastAsia="en-AU"/>
        </w:rPr>
        <w:t>The Planning Proposal seeks to make amendments to the Cessnock L</w:t>
      </w:r>
      <w:r w:rsidRPr="006B3110">
        <w:rPr>
          <w:lang w:eastAsia="en-AU"/>
        </w:rPr>
        <w:t>EP</w:t>
      </w:r>
      <w:r w:rsidR="0001009A">
        <w:rPr>
          <w:lang w:eastAsia="en-AU"/>
        </w:rPr>
        <w:t xml:space="preserve"> 2011</w:t>
      </w:r>
      <w:r w:rsidR="008069C1">
        <w:rPr>
          <w:lang w:eastAsia="en-AU"/>
        </w:rPr>
        <w:t xml:space="preserve"> that are</w:t>
      </w:r>
      <w:r w:rsidR="006B3110" w:rsidRPr="006B3110">
        <w:rPr>
          <w:lang w:eastAsia="en-AU"/>
        </w:rPr>
        <w:t xml:space="preserve"> </w:t>
      </w:r>
      <w:r w:rsidR="008069C1">
        <w:rPr>
          <w:lang w:eastAsia="en-AU"/>
        </w:rPr>
        <w:t>consistent</w:t>
      </w:r>
      <w:r w:rsidRPr="006B3110">
        <w:rPr>
          <w:lang w:eastAsia="en-AU"/>
        </w:rPr>
        <w:t xml:space="preserve"> with the Council’s </w:t>
      </w:r>
      <w:r w:rsidR="006B3110" w:rsidRPr="006B3110">
        <w:rPr>
          <w:lang w:eastAsia="en-AU"/>
        </w:rPr>
        <w:t>Community Strategic Plan.</w:t>
      </w:r>
    </w:p>
    <w:p w14:paraId="27BED724" w14:textId="158791E1" w:rsidR="006B3110" w:rsidRDefault="006B3110" w:rsidP="00A045F7">
      <w:pPr>
        <w:rPr>
          <w:b/>
          <w:lang w:eastAsia="en-AU"/>
        </w:rPr>
      </w:pPr>
      <w:r w:rsidRPr="006B3110">
        <w:rPr>
          <w:b/>
          <w:lang w:eastAsia="en-AU"/>
        </w:rPr>
        <w:t xml:space="preserve">Cessnock Local Strategic Planning Statement </w:t>
      </w:r>
      <w:r>
        <w:rPr>
          <w:b/>
          <w:lang w:eastAsia="en-AU"/>
        </w:rPr>
        <w:t>2036</w:t>
      </w:r>
    </w:p>
    <w:p w14:paraId="3215F694" w14:textId="77777777" w:rsidR="00506771" w:rsidRPr="002358E0" w:rsidRDefault="00506771" w:rsidP="00506771">
      <w:pPr>
        <w:rPr>
          <w:lang w:eastAsia="en-AU"/>
        </w:rPr>
      </w:pPr>
      <w:r w:rsidRPr="002358E0">
        <w:rPr>
          <w:lang w:eastAsia="en-AU"/>
        </w:rPr>
        <w:t>The Cessnock Local Strategic Planning Statement 2036 (LSPS) sets out the 20-year vision for land use in the local area. It establishes the special character and values of the LGA that are to be preserved and how change will be managed into the future.</w:t>
      </w:r>
    </w:p>
    <w:p w14:paraId="3DB27DC2" w14:textId="1CCCEE14" w:rsidR="00506771" w:rsidRDefault="00506771" w:rsidP="00506771">
      <w:pPr>
        <w:rPr>
          <w:lang w:eastAsia="en-AU"/>
        </w:rPr>
      </w:pPr>
      <w:r w:rsidRPr="002358E0">
        <w:rPr>
          <w:lang w:eastAsia="en-AU"/>
        </w:rPr>
        <w:t>The Planning Proposal is generally consistent with the provisions of the LSPS. Specifically, with consideration to the Planning Priorities of the LSPS that are relevant to the proposal type and location. These are:</w:t>
      </w:r>
    </w:p>
    <w:p w14:paraId="2AAC6E6A" w14:textId="77777777" w:rsidR="00506771" w:rsidRPr="00743C89" w:rsidRDefault="00506771" w:rsidP="00506771">
      <w:pPr>
        <w:numPr>
          <w:ilvl w:val="0"/>
          <w:numId w:val="23"/>
        </w:numPr>
        <w:spacing w:after="0"/>
        <w:jc w:val="left"/>
        <w:rPr>
          <w:bCs/>
          <w:lang w:eastAsia="en-AU"/>
        </w:rPr>
      </w:pPr>
      <w:r w:rsidRPr="00743C89">
        <w:rPr>
          <w:bCs/>
          <w:lang w:eastAsia="en-AU"/>
        </w:rPr>
        <w:t>Planning Priority 1: Our urban areas are compact.</w:t>
      </w:r>
    </w:p>
    <w:p w14:paraId="34149307" w14:textId="77777777" w:rsidR="00506771" w:rsidRPr="00743C89" w:rsidRDefault="00506771" w:rsidP="00506771">
      <w:pPr>
        <w:numPr>
          <w:ilvl w:val="0"/>
          <w:numId w:val="23"/>
        </w:numPr>
        <w:spacing w:after="0"/>
        <w:jc w:val="left"/>
        <w:rPr>
          <w:bCs/>
          <w:lang w:eastAsia="en-AU"/>
        </w:rPr>
      </w:pPr>
      <w:r>
        <w:rPr>
          <w:bCs/>
          <w:lang w:eastAsia="en-AU"/>
        </w:rPr>
        <w:t xml:space="preserve">Planning </w:t>
      </w:r>
      <w:r w:rsidRPr="00743C89">
        <w:rPr>
          <w:bCs/>
          <w:lang w:eastAsia="en-AU"/>
        </w:rPr>
        <w:t>Priority 7: Urban development is encouraged in areas within existing infrastructure.</w:t>
      </w:r>
    </w:p>
    <w:p w14:paraId="402E6375" w14:textId="17D7B140" w:rsidR="00506771" w:rsidRPr="005B0D83" w:rsidRDefault="005B0D83" w:rsidP="005B0D83">
      <w:pPr>
        <w:autoSpaceDE/>
        <w:autoSpaceDN/>
        <w:adjustRightInd/>
        <w:spacing w:after="0"/>
        <w:jc w:val="left"/>
        <w:rPr>
          <w:bCs/>
          <w:lang w:eastAsia="en-AU"/>
        </w:rPr>
      </w:pPr>
      <w:r>
        <w:rPr>
          <w:bCs/>
          <w:lang w:eastAsia="en-AU"/>
        </w:rPr>
        <w:br w:type="page"/>
      </w:r>
    </w:p>
    <w:p w14:paraId="31D55F01" w14:textId="77777777" w:rsidR="000C459D" w:rsidRPr="00A2385F" w:rsidRDefault="000C459D" w:rsidP="006008AA">
      <w:pPr>
        <w:pStyle w:val="Heading3"/>
      </w:pPr>
      <w:bookmarkStart w:id="16" w:name="_Toc80259527"/>
      <w:r w:rsidRPr="00A2385F">
        <w:lastRenderedPageBreak/>
        <w:t>Consistency with State Environmental Planning Policies</w:t>
      </w:r>
      <w:bookmarkEnd w:id="16"/>
      <w:r w:rsidRPr="00A2385F">
        <w:t xml:space="preserve"> </w:t>
      </w:r>
    </w:p>
    <w:p w14:paraId="61AA86CC" w14:textId="77777777" w:rsidR="000C459D" w:rsidRDefault="000C459D" w:rsidP="00A045F7">
      <w:pPr>
        <w:rPr>
          <w:lang w:eastAsia="en-AU"/>
        </w:rPr>
      </w:pPr>
      <w:r w:rsidRPr="00A2385F">
        <w:rPr>
          <w:lang w:eastAsia="en-AU"/>
        </w:rPr>
        <w:t>An assessment of relevant SEPPs against the planning proposal is provided in the table below.</w:t>
      </w:r>
    </w:p>
    <w:p w14:paraId="66022D5A" w14:textId="78B79B14" w:rsidR="000C459D" w:rsidRPr="005B0D83" w:rsidRDefault="003941A5" w:rsidP="00A056D1">
      <w:pPr>
        <w:pStyle w:val="Caption"/>
        <w:rPr>
          <w:sz w:val="22"/>
        </w:rPr>
      </w:pPr>
      <w:bookmarkStart w:id="17" w:name="_Toc301167289"/>
      <w:bookmarkStart w:id="18" w:name="_Toc418240881"/>
      <w:bookmarkStart w:id="19" w:name="_Toc80259540"/>
      <w:r w:rsidRPr="003941A5">
        <w:rPr>
          <w:sz w:val="22"/>
          <w:szCs w:val="22"/>
        </w:rPr>
        <w:t xml:space="preserve">Table </w:t>
      </w:r>
      <w:r w:rsidRPr="003941A5">
        <w:rPr>
          <w:noProof/>
          <w:sz w:val="22"/>
          <w:szCs w:val="22"/>
        </w:rPr>
        <w:fldChar w:fldCharType="begin"/>
      </w:r>
      <w:r w:rsidRPr="003941A5">
        <w:rPr>
          <w:noProof/>
          <w:sz w:val="22"/>
          <w:szCs w:val="22"/>
        </w:rPr>
        <w:instrText xml:space="preserve"> SEQ Table \* ARABIC </w:instrText>
      </w:r>
      <w:r w:rsidRPr="003941A5">
        <w:rPr>
          <w:noProof/>
          <w:sz w:val="22"/>
          <w:szCs w:val="22"/>
        </w:rPr>
        <w:fldChar w:fldCharType="separate"/>
      </w:r>
      <w:r w:rsidR="003D791F">
        <w:rPr>
          <w:noProof/>
          <w:sz w:val="22"/>
          <w:szCs w:val="22"/>
        </w:rPr>
        <w:t>2</w:t>
      </w:r>
      <w:r w:rsidRPr="003941A5">
        <w:rPr>
          <w:noProof/>
          <w:sz w:val="22"/>
          <w:szCs w:val="22"/>
        </w:rPr>
        <w:fldChar w:fldCharType="end"/>
      </w:r>
      <w:r w:rsidRPr="003941A5">
        <w:rPr>
          <w:sz w:val="22"/>
          <w:szCs w:val="22"/>
        </w:rPr>
        <w:t xml:space="preserve">: </w:t>
      </w:r>
      <w:r w:rsidR="000C459D" w:rsidRPr="003941A5">
        <w:rPr>
          <w:sz w:val="22"/>
          <w:szCs w:val="22"/>
        </w:rPr>
        <w:t>Relevant</w:t>
      </w:r>
      <w:r w:rsidR="000C459D" w:rsidRPr="005B0D83">
        <w:rPr>
          <w:sz w:val="22"/>
        </w:rPr>
        <w:t xml:space="preserve"> State Environmental Planning Policies</w:t>
      </w:r>
      <w:bookmarkEnd w:id="17"/>
      <w:bookmarkEnd w:id="18"/>
      <w:bookmarkEnd w:id="19"/>
      <w:r w:rsidR="000C459D" w:rsidRPr="005B0D83">
        <w:rPr>
          <w:sz w:val="22"/>
        </w:rPr>
        <w:t xml:space="preserv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4253"/>
        <w:gridCol w:w="3685"/>
      </w:tblGrid>
      <w:tr w:rsidR="0090328B" w:rsidRPr="005B0D83" w14:paraId="751627A7" w14:textId="77777777" w:rsidTr="003B1F6D">
        <w:trPr>
          <w:trHeight w:val="283"/>
          <w:tblHeader/>
        </w:trPr>
        <w:tc>
          <w:tcPr>
            <w:tcW w:w="2405" w:type="dxa"/>
            <w:shd w:val="clear" w:color="auto" w:fill="A6A6A6"/>
            <w:vAlign w:val="center"/>
          </w:tcPr>
          <w:p w14:paraId="7C92CF73" w14:textId="77777777" w:rsidR="0090328B" w:rsidRPr="005B0D83" w:rsidRDefault="0090328B" w:rsidP="00C41F6C">
            <w:pPr>
              <w:spacing w:after="0"/>
              <w:jc w:val="left"/>
              <w:rPr>
                <w:rStyle w:val="Strong"/>
                <w:sz w:val="20"/>
                <w:szCs w:val="20"/>
              </w:rPr>
            </w:pPr>
            <w:r w:rsidRPr="005B0D83">
              <w:rPr>
                <w:rStyle w:val="Strong"/>
                <w:sz w:val="20"/>
                <w:szCs w:val="20"/>
              </w:rPr>
              <w:t xml:space="preserve">SEPP </w:t>
            </w:r>
          </w:p>
        </w:tc>
        <w:tc>
          <w:tcPr>
            <w:tcW w:w="4253" w:type="dxa"/>
            <w:shd w:val="clear" w:color="auto" w:fill="A6A6A6"/>
            <w:vAlign w:val="center"/>
          </w:tcPr>
          <w:p w14:paraId="272D755A" w14:textId="77777777" w:rsidR="0090328B" w:rsidRPr="005B0D83" w:rsidRDefault="0090328B" w:rsidP="00C41F6C">
            <w:pPr>
              <w:spacing w:after="0"/>
              <w:jc w:val="left"/>
              <w:rPr>
                <w:b/>
                <w:sz w:val="20"/>
                <w:szCs w:val="20"/>
              </w:rPr>
            </w:pPr>
            <w:r w:rsidRPr="005B0D83">
              <w:rPr>
                <w:b/>
                <w:sz w:val="20"/>
                <w:szCs w:val="20"/>
              </w:rPr>
              <w:t>Relevance</w:t>
            </w:r>
          </w:p>
        </w:tc>
        <w:tc>
          <w:tcPr>
            <w:tcW w:w="3685" w:type="dxa"/>
            <w:shd w:val="clear" w:color="auto" w:fill="A6A6A6"/>
            <w:vAlign w:val="center"/>
          </w:tcPr>
          <w:p w14:paraId="15FBB9DE" w14:textId="77777777" w:rsidR="0090328B" w:rsidRPr="005B0D83" w:rsidRDefault="0090328B" w:rsidP="00C41F6C">
            <w:pPr>
              <w:spacing w:after="0"/>
              <w:jc w:val="left"/>
              <w:rPr>
                <w:b/>
                <w:sz w:val="20"/>
                <w:szCs w:val="20"/>
              </w:rPr>
            </w:pPr>
            <w:r w:rsidRPr="005B0D83">
              <w:rPr>
                <w:b/>
                <w:sz w:val="20"/>
                <w:szCs w:val="20"/>
              </w:rPr>
              <w:t>Consistency and Implications</w:t>
            </w:r>
          </w:p>
        </w:tc>
      </w:tr>
      <w:tr w:rsidR="005B0D83" w:rsidRPr="005B0D83" w14:paraId="2ECE78E4" w14:textId="77777777" w:rsidTr="003B1F6D">
        <w:trPr>
          <w:trHeight w:val="283"/>
        </w:trPr>
        <w:tc>
          <w:tcPr>
            <w:tcW w:w="2405" w:type="dxa"/>
            <w:shd w:val="clear" w:color="auto" w:fill="auto"/>
          </w:tcPr>
          <w:p w14:paraId="2433C16D" w14:textId="77777777" w:rsidR="005B0D83" w:rsidRPr="005B0D83" w:rsidRDefault="005B0D83" w:rsidP="005B0D83">
            <w:pPr>
              <w:spacing w:after="0"/>
              <w:jc w:val="left"/>
              <w:rPr>
                <w:b/>
                <w:sz w:val="20"/>
                <w:szCs w:val="20"/>
              </w:rPr>
            </w:pPr>
            <w:r w:rsidRPr="005B0D83">
              <w:rPr>
                <w:b/>
                <w:sz w:val="20"/>
                <w:szCs w:val="20"/>
              </w:rPr>
              <w:t>SEPP 21 - Caravan Parks</w:t>
            </w:r>
          </w:p>
        </w:tc>
        <w:tc>
          <w:tcPr>
            <w:tcW w:w="4253" w:type="dxa"/>
            <w:shd w:val="clear" w:color="auto" w:fill="auto"/>
          </w:tcPr>
          <w:p w14:paraId="7090368E" w14:textId="77777777" w:rsidR="005B0D83" w:rsidRPr="005B0D83" w:rsidRDefault="005B0D83" w:rsidP="005B0D83">
            <w:pPr>
              <w:spacing w:after="0"/>
              <w:rPr>
                <w:sz w:val="20"/>
                <w:szCs w:val="20"/>
              </w:rPr>
            </w:pPr>
            <w:r w:rsidRPr="005B0D83">
              <w:rPr>
                <w:sz w:val="20"/>
                <w:szCs w:val="20"/>
              </w:rPr>
              <w:t>The SEPP provides for development for caravan parks.</w:t>
            </w:r>
          </w:p>
        </w:tc>
        <w:tc>
          <w:tcPr>
            <w:tcW w:w="3685" w:type="dxa"/>
            <w:shd w:val="clear" w:color="auto" w:fill="auto"/>
          </w:tcPr>
          <w:p w14:paraId="6789DC1F" w14:textId="20917C4E" w:rsidR="005B0D83" w:rsidRPr="005B0D83" w:rsidRDefault="005B0D83" w:rsidP="005B0D83">
            <w:pPr>
              <w:spacing w:after="0"/>
              <w:rPr>
                <w:sz w:val="20"/>
                <w:szCs w:val="20"/>
              </w:rPr>
            </w:pPr>
            <w:r w:rsidRPr="005B0D83">
              <w:rPr>
                <w:sz w:val="20"/>
                <w:szCs w:val="20"/>
                <w:lang w:eastAsia="en-AU"/>
              </w:rPr>
              <w:t>Nothing in this Planning Proposal impacts on the operation of this SEPP.</w:t>
            </w:r>
          </w:p>
        </w:tc>
      </w:tr>
      <w:tr w:rsidR="005B0D83" w:rsidRPr="005B0D83" w14:paraId="6D093A93" w14:textId="77777777" w:rsidTr="003B1F6D">
        <w:trPr>
          <w:trHeight w:val="283"/>
        </w:trPr>
        <w:tc>
          <w:tcPr>
            <w:tcW w:w="2405" w:type="dxa"/>
            <w:shd w:val="clear" w:color="auto" w:fill="auto"/>
          </w:tcPr>
          <w:p w14:paraId="38484ADC" w14:textId="77777777" w:rsidR="005B0D83" w:rsidRPr="005B0D83" w:rsidRDefault="005B0D83" w:rsidP="005B0D83">
            <w:pPr>
              <w:spacing w:after="0"/>
              <w:jc w:val="left"/>
              <w:rPr>
                <w:b/>
                <w:sz w:val="20"/>
                <w:szCs w:val="20"/>
              </w:rPr>
            </w:pPr>
            <w:r w:rsidRPr="005B0D83">
              <w:rPr>
                <w:b/>
                <w:sz w:val="20"/>
                <w:szCs w:val="20"/>
              </w:rPr>
              <w:t>SEPP 33 - Hazardous &amp; Offensive Development</w:t>
            </w:r>
          </w:p>
        </w:tc>
        <w:tc>
          <w:tcPr>
            <w:tcW w:w="4253" w:type="dxa"/>
            <w:shd w:val="clear" w:color="auto" w:fill="auto"/>
          </w:tcPr>
          <w:p w14:paraId="486CBA34" w14:textId="77777777" w:rsidR="005B0D83" w:rsidRPr="005B0D83" w:rsidRDefault="005B0D83" w:rsidP="005B0D83">
            <w:pPr>
              <w:spacing w:after="0"/>
              <w:rPr>
                <w:sz w:val="20"/>
                <w:szCs w:val="20"/>
              </w:rPr>
            </w:pPr>
            <w:r w:rsidRPr="005B0D83">
              <w:rPr>
                <w:sz w:val="20"/>
                <w:szCs w:val="20"/>
              </w:rPr>
              <w:t>The SEPP provides considerations for consent for hazardous &amp; offensive development.</w:t>
            </w:r>
          </w:p>
        </w:tc>
        <w:tc>
          <w:tcPr>
            <w:tcW w:w="3685" w:type="dxa"/>
            <w:shd w:val="clear" w:color="auto" w:fill="auto"/>
          </w:tcPr>
          <w:p w14:paraId="0E304665" w14:textId="12CAB5DB" w:rsidR="005B0D83" w:rsidRPr="005B0D83" w:rsidRDefault="005B0D83" w:rsidP="005B0D83">
            <w:pPr>
              <w:spacing w:after="0"/>
              <w:rPr>
                <w:sz w:val="20"/>
                <w:szCs w:val="20"/>
              </w:rPr>
            </w:pPr>
            <w:r w:rsidRPr="005B0D83">
              <w:rPr>
                <w:sz w:val="20"/>
                <w:szCs w:val="20"/>
                <w:lang w:eastAsia="en-AU"/>
              </w:rPr>
              <w:t>Nothing in this Planning Proposal impacts on the operation of this SEPP.</w:t>
            </w:r>
          </w:p>
        </w:tc>
      </w:tr>
      <w:tr w:rsidR="005B0D83" w:rsidRPr="005B0D83" w14:paraId="0E53675B" w14:textId="77777777" w:rsidTr="003B1F6D">
        <w:trPr>
          <w:trHeight w:val="283"/>
        </w:trPr>
        <w:tc>
          <w:tcPr>
            <w:tcW w:w="2405" w:type="dxa"/>
            <w:shd w:val="clear" w:color="auto" w:fill="auto"/>
          </w:tcPr>
          <w:p w14:paraId="161907D9" w14:textId="77777777" w:rsidR="005B0D83" w:rsidRPr="005B0D83" w:rsidRDefault="005B0D83" w:rsidP="005B0D83">
            <w:pPr>
              <w:spacing w:after="0"/>
              <w:jc w:val="left"/>
              <w:rPr>
                <w:b/>
                <w:sz w:val="20"/>
                <w:szCs w:val="20"/>
              </w:rPr>
            </w:pPr>
            <w:r w:rsidRPr="005B0D83">
              <w:rPr>
                <w:b/>
                <w:sz w:val="20"/>
                <w:szCs w:val="20"/>
              </w:rPr>
              <w:t>SEPP 36 - Manufactured Homes Estates</w:t>
            </w:r>
          </w:p>
        </w:tc>
        <w:tc>
          <w:tcPr>
            <w:tcW w:w="4253" w:type="dxa"/>
            <w:shd w:val="clear" w:color="auto" w:fill="auto"/>
          </w:tcPr>
          <w:p w14:paraId="594EDFC8" w14:textId="77777777" w:rsidR="005B0D83" w:rsidRPr="005B0D83" w:rsidRDefault="005B0D83" w:rsidP="005B0D83">
            <w:pPr>
              <w:spacing w:after="0"/>
              <w:rPr>
                <w:sz w:val="20"/>
                <w:szCs w:val="20"/>
              </w:rPr>
            </w:pPr>
            <w:r w:rsidRPr="005B0D83">
              <w:rPr>
                <w:sz w:val="20"/>
                <w:szCs w:val="20"/>
              </w:rPr>
              <w:t>The SEPP makes provision to encourage manufactured homes estates through permitting this use where caravan parks are permitted and allowing subdivision.</w:t>
            </w:r>
          </w:p>
        </w:tc>
        <w:tc>
          <w:tcPr>
            <w:tcW w:w="3685" w:type="dxa"/>
            <w:shd w:val="clear" w:color="auto" w:fill="auto"/>
          </w:tcPr>
          <w:p w14:paraId="41EBCE3A" w14:textId="308BD407" w:rsidR="005B0D83" w:rsidRPr="005B0D83" w:rsidRDefault="005B0D83" w:rsidP="005B0D83">
            <w:pPr>
              <w:spacing w:after="0"/>
              <w:rPr>
                <w:sz w:val="20"/>
                <w:szCs w:val="20"/>
              </w:rPr>
            </w:pPr>
            <w:r w:rsidRPr="005B0D83">
              <w:rPr>
                <w:sz w:val="20"/>
                <w:szCs w:val="20"/>
                <w:lang w:eastAsia="en-AU"/>
              </w:rPr>
              <w:t>Nothing in this Planning Proposal impacts on the operation of this SEPP.</w:t>
            </w:r>
          </w:p>
        </w:tc>
      </w:tr>
      <w:tr w:rsidR="005B0D83" w:rsidRPr="005B0D83" w14:paraId="64E7F9DE" w14:textId="77777777" w:rsidTr="003B1F6D">
        <w:trPr>
          <w:trHeight w:val="283"/>
        </w:trPr>
        <w:tc>
          <w:tcPr>
            <w:tcW w:w="2405" w:type="dxa"/>
            <w:shd w:val="clear" w:color="auto" w:fill="auto"/>
          </w:tcPr>
          <w:p w14:paraId="357042AB" w14:textId="77777777" w:rsidR="005B0D83" w:rsidRPr="005B0D83" w:rsidRDefault="005B0D83" w:rsidP="005B0D83">
            <w:pPr>
              <w:spacing w:after="0"/>
              <w:jc w:val="left"/>
              <w:rPr>
                <w:b/>
                <w:sz w:val="20"/>
                <w:szCs w:val="20"/>
              </w:rPr>
            </w:pPr>
            <w:r w:rsidRPr="005B0D83">
              <w:rPr>
                <w:b/>
                <w:sz w:val="20"/>
                <w:szCs w:val="20"/>
              </w:rPr>
              <w:t>SEPP 50 - Canal Estate Development</w:t>
            </w:r>
          </w:p>
        </w:tc>
        <w:tc>
          <w:tcPr>
            <w:tcW w:w="4253" w:type="dxa"/>
            <w:shd w:val="clear" w:color="auto" w:fill="auto"/>
          </w:tcPr>
          <w:p w14:paraId="2EBA5C49" w14:textId="77777777" w:rsidR="005B0D83" w:rsidRPr="005B0D83" w:rsidRDefault="005B0D83" w:rsidP="005B0D83">
            <w:pPr>
              <w:spacing w:after="0"/>
              <w:rPr>
                <w:sz w:val="20"/>
                <w:szCs w:val="20"/>
                <w:lang w:eastAsia="en-AU"/>
              </w:rPr>
            </w:pPr>
            <w:r w:rsidRPr="005B0D83">
              <w:rPr>
                <w:sz w:val="20"/>
                <w:szCs w:val="20"/>
              </w:rPr>
              <w:t xml:space="preserve">The SEPP </w:t>
            </w:r>
            <w:r w:rsidRPr="005B0D83">
              <w:rPr>
                <w:sz w:val="20"/>
                <w:szCs w:val="20"/>
                <w:lang w:eastAsia="en-AU"/>
              </w:rPr>
              <w:t>bans new canal estates from the date of gazettal, to ensure coastal and aquatic environments are not affected by these developments.</w:t>
            </w:r>
          </w:p>
        </w:tc>
        <w:tc>
          <w:tcPr>
            <w:tcW w:w="3685" w:type="dxa"/>
            <w:shd w:val="clear" w:color="auto" w:fill="auto"/>
          </w:tcPr>
          <w:p w14:paraId="3E7335E9" w14:textId="040F897C" w:rsidR="005B0D83" w:rsidRPr="005B0D83" w:rsidRDefault="005B0D83" w:rsidP="005B0D83">
            <w:pPr>
              <w:spacing w:after="0"/>
              <w:rPr>
                <w:sz w:val="20"/>
                <w:szCs w:val="20"/>
              </w:rPr>
            </w:pPr>
            <w:r w:rsidRPr="005B0D83">
              <w:rPr>
                <w:sz w:val="20"/>
                <w:szCs w:val="20"/>
                <w:lang w:eastAsia="en-AU"/>
              </w:rPr>
              <w:t>Nothing in this Planning Proposal impacts on the operation of this SEPP.</w:t>
            </w:r>
          </w:p>
        </w:tc>
      </w:tr>
      <w:tr w:rsidR="0090328B" w:rsidRPr="005B0D83" w14:paraId="661346BC" w14:textId="77777777" w:rsidTr="003B1F6D">
        <w:trPr>
          <w:trHeight w:val="283"/>
        </w:trPr>
        <w:tc>
          <w:tcPr>
            <w:tcW w:w="2405" w:type="dxa"/>
            <w:shd w:val="clear" w:color="auto" w:fill="auto"/>
          </w:tcPr>
          <w:p w14:paraId="3269ABC4" w14:textId="77777777" w:rsidR="0090328B" w:rsidRPr="005B0D83" w:rsidRDefault="0090328B" w:rsidP="00C41F6C">
            <w:pPr>
              <w:spacing w:after="0"/>
              <w:jc w:val="left"/>
              <w:rPr>
                <w:b/>
                <w:sz w:val="20"/>
                <w:szCs w:val="20"/>
              </w:rPr>
            </w:pPr>
            <w:r w:rsidRPr="005B0D83">
              <w:rPr>
                <w:b/>
                <w:sz w:val="20"/>
                <w:szCs w:val="20"/>
              </w:rPr>
              <w:t>SEPP 55 - Remediation of Land</w:t>
            </w:r>
          </w:p>
        </w:tc>
        <w:tc>
          <w:tcPr>
            <w:tcW w:w="4253" w:type="dxa"/>
            <w:shd w:val="clear" w:color="auto" w:fill="auto"/>
          </w:tcPr>
          <w:p w14:paraId="1AEF4A2F" w14:textId="77777777" w:rsidR="0090328B" w:rsidRPr="005B0D83" w:rsidRDefault="0090328B" w:rsidP="00C41F6C">
            <w:pPr>
              <w:spacing w:after="0"/>
              <w:rPr>
                <w:sz w:val="20"/>
                <w:szCs w:val="20"/>
                <w:lang w:eastAsia="en-AU"/>
              </w:rPr>
            </w:pPr>
            <w:r w:rsidRPr="005B0D83">
              <w:rPr>
                <w:sz w:val="20"/>
                <w:szCs w:val="20"/>
                <w:lang w:eastAsia="en-AU"/>
              </w:rPr>
              <w:t>This SEPP applies to land across NSW and states that land must not be developed if it is unsuitable for a proposed use because of contamination</w:t>
            </w:r>
          </w:p>
        </w:tc>
        <w:tc>
          <w:tcPr>
            <w:tcW w:w="3685" w:type="dxa"/>
            <w:shd w:val="clear" w:color="auto" w:fill="auto"/>
          </w:tcPr>
          <w:p w14:paraId="68FDA797" w14:textId="13298464" w:rsidR="0090328B" w:rsidRPr="005B0D83" w:rsidRDefault="00FA4960" w:rsidP="00E6127A">
            <w:pPr>
              <w:spacing w:after="0"/>
              <w:rPr>
                <w:sz w:val="20"/>
                <w:szCs w:val="20"/>
              </w:rPr>
            </w:pPr>
            <w:r w:rsidRPr="005B0D83">
              <w:rPr>
                <w:sz w:val="20"/>
                <w:szCs w:val="20"/>
              </w:rPr>
              <w:t xml:space="preserve">Consistent. </w:t>
            </w:r>
            <w:r w:rsidR="00E6127A">
              <w:rPr>
                <w:sz w:val="20"/>
                <w:szCs w:val="20"/>
              </w:rPr>
              <w:t>The netball courts site has</w:t>
            </w:r>
            <w:r w:rsidRPr="005B0D83">
              <w:rPr>
                <w:sz w:val="20"/>
                <w:szCs w:val="20"/>
              </w:rPr>
              <w:t xml:space="preserve"> not been identified by Counci</w:t>
            </w:r>
            <w:r w:rsidR="00E6127A">
              <w:rPr>
                <w:sz w:val="20"/>
                <w:szCs w:val="20"/>
              </w:rPr>
              <w:t>l as being contaminated</w:t>
            </w:r>
            <w:r w:rsidRPr="005B0D83">
              <w:rPr>
                <w:sz w:val="20"/>
                <w:szCs w:val="20"/>
              </w:rPr>
              <w:t xml:space="preserve">. Nothing in the Planning Proposal impacts on the operation of this SEPP. </w:t>
            </w:r>
          </w:p>
        </w:tc>
      </w:tr>
      <w:tr w:rsidR="005B0D83" w:rsidRPr="005B0D83" w14:paraId="5473B4BF" w14:textId="77777777" w:rsidTr="003B1F6D">
        <w:trPr>
          <w:trHeight w:val="283"/>
        </w:trPr>
        <w:tc>
          <w:tcPr>
            <w:tcW w:w="2405" w:type="dxa"/>
            <w:shd w:val="clear" w:color="auto" w:fill="auto"/>
          </w:tcPr>
          <w:p w14:paraId="0C8D964F" w14:textId="77777777" w:rsidR="005B0D83" w:rsidRPr="005B0D83" w:rsidRDefault="005B0D83" w:rsidP="005B0D83">
            <w:pPr>
              <w:spacing w:after="0"/>
              <w:jc w:val="left"/>
              <w:rPr>
                <w:b/>
                <w:sz w:val="20"/>
                <w:szCs w:val="20"/>
              </w:rPr>
            </w:pPr>
            <w:r w:rsidRPr="005B0D83">
              <w:rPr>
                <w:b/>
                <w:sz w:val="20"/>
                <w:szCs w:val="20"/>
              </w:rPr>
              <w:t>SEPP 64 - Advertising and Signage</w:t>
            </w:r>
          </w:p>
        </w:tc>
        <w:tc>
          <w:tcPr>
            <w:tcW w:w="4253" w:type="dxa"/>
            <w:shd w:val="clear" w:color="auto" w:fill="auto"/>
          </w:tcPr>
          <w:p w14:paraId="2ECBF96A" w14:textId="77777777" w:rsidR="005B0D83" w:rsidRPr="005B0D83" w:rsidRDefault="005B0D83" w:rsidP="005B0D83">
            <w:pPr>
              <w:spacing w:after="0"/>
              <w:rPr>
                <w:sz w:val="20"/>
                <w:szCs w:val="20"/>
                <w:lang w:eastAsia="en-AU"/>
              </w:rPr>
            </w:pPr>
            <w:r w:rsidRPr="005B0D83">
              <w:rPr>
                <w:sz w:val="20"/>
                <w:szCs w:val="20"/>
              </w:rPr>
              <w:t xml:space="preserve">The SEPP </w:t>
            </w:r>
            <w:r w:rsidRPr="005B0D83">
              <w:rPr>
                <w:sz w:val="20"/>
                <w:szCs w:val="20"/>
                <w:lang w:eastAsia="en-AU"/>
              </w:rPr>
              <w:t>aims to ensure that outdoor advertising is compatible with the desired amenity and visual character of an area, provides effective communication in suitable locations and is of high quality design and finish.</w:t>
            </w:r>
          </w:p>
        </w:tc>
        <w:tc>
          <w:tcPr>
            <w:tcW w:w="3685" w:type="dxa"/>
            <w:shd w:val="clear" w:color="auto" w:fill="auto"/>
          </w:tcPr>
          <w:p w14:paraId="622C317F" w14:textId="15645447" w:rsidR="005B0D83" w:rsidRPr="005B0D83" w:rsidRDefault="005B0D83" w:rsidP="005B0D83">
            <w:pPr>
              <w:spacing w:after="0"/>
              <w:rPr>
                <w:sz w:val="20"/>
                <w:szCs w:val="20"/>
              </w:rPr>
            </w:pPr>
            <w:r w:rsidRPr="005B0D83">
              <w:rPr>
                <w:sz w:val="20"/>
                <w:szCs w:val="20"/>
                <w:lang w:eastAsia="en-AU"/>
              </w:rPr>
              <w:t>Nothing in this Planning Proposal impacts on the operation of this SEPP.</w:t>
            </w:r>
          </w:p>
        </w:tc>
      </w:tr>
      <w:tr w:rsidR="005B0D83" w:rsidRPr="005B0D83" w14:paraId="68D345F4" w14:textId="77777777" w:rsidTr="003B1F6D">
        <w:trPr>
          <w:trHeight w:val="283"/>
        </w:trPr>
        <w:tc>
          <w:tcPr>
            <w:tcW w:w="2405" w:type="dxa"/>
            <w:shd w:val="clear" w:color="auto" w:fill="auto"/>
          </w:tcPr>
          <w:p w14:paraId="75E9D488" w14:textId="77777777" w:rsidR="005B0D83" w:rsidRPr="005B0D83" w:rsidRDefault="005B0D83" w:rsidP="005B0D83">
            <w:pPr>
              <w:spacing w:after="0"/>
              <w:jc w:val="left"/>
              <w:rPr>
                <w:rFonts w:eastAsia="Calibri"/>
                <w:b/>
                <w:sz w:val="20"/>
                <w:szCs w:val="20"/>
              </w:rPr>
            </w:pPr>
            <w:r w:rsidRPr="005B0D83">
              <w:rPr>
                <w:rFonts w:eastAsia="Calibri"/>
                <w:b/>
                <w:sz w:val="20"/>
                <w:szCs w:val="20"/>
              </w:rPr>
              <w:t>SEPP 65 - Design Quality of Residential Development</w:t>
            </w:r>
          </w:p>
        </w:tc>
        <w:tc>
          <w:tcPr>
            <w:tcW w:w="4253" w:type="dxa"/>
            <w:shd w:val="clear" w:color="auto" w:fill="auto"/>
          </w:tcPr>
          <w:p w14:paraId="268B5ABF" w14:textId="77777777" w:rsidR="005B0D83" w:rsidRPr="005B0D83" w:rsidRDefault="005B0D83" w:rsidP="005B0D83">
            <w:pPr>
              <w:spacing w:after="0"/>
              <w:rPr>
                <w:sz w:val="20"/>
                <w:szCs w:val="20"/>
              </w:rPr>
            </w:pPr>
            <w:r w:rsidRPr="005B0D83">
              <w:rPr>
                <w:sz w:val="20"/>
                <w:szCs w:val="20"/>
              </w:rPr>
              <w:t>The SEPP relates to residential flat development across the state through the application of a series of design principles.  Provides for the establishment of Design Review Panels to provide independent expert advice to councils on the merit of residential flat development.</w:t>
            </w:r>
          </w:p>
        </w:tc>
        <w:tc>
          <w:tcPr>
            <w:tcW w:w="3685" w:type="dxa"/>
            <w:shd w:val="clear" w:color="auto" w:fill="auto"/>
          </w:tcPr>
          <w:p w14:paraId="4B25163F" w14:textId="71EFA720" w:rsidR="005B0D83" w:rsidRPr="005B0D83" w:rsidRDefault="005B0D83" w:rsidP="005B0D83">
            <w:pPr>
              <w:spacing w:after="0"/>
              <w:rPr>
                <w:sz w:val="20"/>
                <w:szCs w:val="20"/>
              </w:rPr>
            </w:pPr>
            <w:r w:rsidRPr="005B0D83">
              <w:rPr>
                <w:sz w:val="20"/>
                <w:szCs w:val="20"/>
                <w:lang w:eastAsia="en-AU"/>
              </w:rPr>
              <w:t>Nothing in this Planning Proposal impacts on the operation of this SEPP.</w:t>
            </w:r>
          </w:p>
        </w:tc>
      </w:tr>
      <w:tr w:rsidR="005B0D83" w:rsidRPr="005B0D83" w14:paraId="261663E6" w14:textId="77777777" w:rsidTr="003B1F6D">
        <w:trPr>
          <w:trHeight w:val="283"/>
        </w:trPr>
        <w:tc>
          <w:tcPr>
            <w:tcW w:w="2405" w:type="dxa"/>
            <w:shd w:val="clear" w:color="auto" w:fill="auto"/>
          </w:tcPr>
          <w:p w14:paraId="0C2F7E08" w14:textId="77777777" w:rsidR="005B0D83" w:rsidRPr="005B0D83" w:rsidRDefault="005B0D83" w:rsidP="005B0D83">
            <w:pPr>
              <w:spacing w:after="0"/>
              <w:jc w:val="left"/>
              <w:rPr>
                <w:rFonts w:eastAsia="Calibri"/>
                <w:b/>
                <w:sz w:val="20"/>
                <w:szCs w:val="20"/>
              </w:rPr>
            </w:pPr>
            <w:r w:rsidRPr="005B0D83">
              <w:rPr>
                <w:rFonts w:eastAsia="Calibri"/>
                <w:b/>
                <w:sz w:val="20"/>
                <w:szCs w:val="20"/>
              </w:rPr>
              <w:t>SEPP 70 – Affordable Rental Housing (Revised Schemes)</w:t>
            </w:r>
          </w:p>
        </w:tc>
        <w:tc>
          <w:tcPr>
            <w:tcW w:w="4253" w:type="dxa"/>
            <w:shd w:val="clear" w:color="auto" w:fill="auto"/>
          </w:tcPr>
          <w:p w14:paraId="1502AAF6" w14:textId="77777777" w:rsidR="005B0D83" w:rsidRPr="005B0D83" w:rsidRDefault="005B0D83" w:rsidP="005B0D83">
            <w:pPr>
              <w:spacing w:after="0"/>
              <w:rPr>
                <w:sz w:val="20"/>
                <w:szCs w:val="20"/>
              </w:rPr>
            </w:pPr>
            <w:r w:rsidRPr="005B0D83">
              <w:rPr>
                <w:sz w:val="20"/>
                <w:szCs w:val="20"/>
              </w:rPr>
              <w:t xml:space="preserve">The SEPP provides for an </w:t>
            </w:r>
            <w:r w:rsidRPr="005B0D83">
              <w:rPr>
                <w:sz w:val="20"/>
                <w:szCs w:val="20"/>
                <w:lang w:eastAsia="en-AU"/>
              </w:rPr>
              <w:t>increase in the supply and diversity of affordable rental and social housing in NSW.</w:t>
            </w:r>
          </w:p>
        </w:tc>
        <w:tc>
          <w:tcPr>
            <w:tcW w:w="3685" w:type="dxa"/>
            <w:shd w:val="clear" w:color="auto" w:fill="auto"/>
          </w:tcPr>
          <w:p w14:paraId="22655FBC" w14:textId="0FEA23F9" w:rsidR="005B0D83" w:rsidRPr="005B0D83" w:rsidRDefault="005B0D83" w:rsidP="005B0D83">
            <w:pPr>
              <w:spacing w:after="0"/>
              <w:rPr>
                <w:sz w:val="20"/>
                <w:szCs w:val="20"/>
              </w:rPr>
            </w:pPr>
            <w:r w:rsidRPr="005B0D83">
              <w:rPr>
                <w:sz w:val="20"/>
                <w:szCs w:val="20"/>
                <w:lang w:eastAsia="en-AU"/>
              </w:rPr>
              <w:t>Nothing in this Planning Proposal impacts on the operation of this SEPP.</w:t>
            </w:r>
          </w:p>
        </w:tc>
      </w:tr>
      <w:tr w:rsidR="0090328B" w:rsidRPr="005B0D83" w14:paraId="3240FCFA" w14:textId="77777777" w:rsidTr="003B1F6D">
        <w:trPr>
          <w:trHeight w:val="283"/>
        </w:trPr>
        <w:tc>
          <w:tcPr>
            <w:tcW w:w="2405" w:type="dxa"/>
            <w:shd w:val="clear" w:color="auto" w:fill="auto"/>
          </w:tcPr>
          <w:p w14:paraId="3DB95747" w14:textId="77777777" w:rsidR="0090328B" w:rsidRPr="005B0D83" w:rsidRDefault="0090328B" w:rsidP="00C41F6C">
            <w:pPr>
              <w:spacing w:after="0"/>
              <w:jc w:val="left"/>
              <w:rPr>
                <w:b/>
                <w:sz w:val="20"/>
                <w:szCs w:val="20"/>
              </w:rPr>
            </w:pPr>
            <w:r w:rsidRPr="005B0D83">
              <w:rPr>
                <w:b/>
                <w:sz w:val="20"/>
                <w:szCs w:val="20"/>
              </w:rPr>
              <w:t>SEPP Affordable Rental Housing 2009</w:t>
            </w:r>
          </w:p>
        </w:tc>
        <w:tc>
          <w:tcPr>
            <w:tcW w:w="4253" w:type="dxa"/>
            <w:shd w:val="clear" w:color="auto" w:fill="auto"/>
          </w:tcPr>
          <w:p w14:paraId="0A560A53" w14:textId="77777777" w:rsidR="0090328B" w:rsidRPr="005B0D83" w:rsidRDefault="0090328B" w:rsidP="00C41F6C">
            <w:pPr>
              <w:spacing w:after="0"/>
              <w:rPr>
                <w:sz w:val="20"/>
                <w:szCs w:val="20"/>
                <w:lang w:eastAsia="en-AU"/>
              </w:rPr>
            </w:pPr>
            <w:r w:rsidRPr="005B0D83">
              <w:rPr>
                <w:sz w:val="20"/>
                <w:szCs w:val="20"/>
                <w:lang w:eastAsia="en-AU"/>
              </w:rPr>
              <w:t>The aims of this Policy are as follows:</w:t>
            </w:r>
          </w:p>
          <w:p w14:paraId="21D6C93A" w14:textId="77777777" w:rsidR="0090328B" w:rsidRPr="005B0D83" w:rsidRDefault="0090328B" w:rsidP="00C41F6C">
            <w:pPr>
              <w:pStyle w:val="Default"/>
              <w:ind w:left="317" w:hanging="284"/>
              <w:rPr>
                <w:sz w:val="20"/>
                <w:szCs w:val="20"/>
              </w:rPr>
            </w:pPr>
            <w:r w:rsidRPr="005B0D83">
              <w:rPr>
                <w:sz w:val="20"/>
                <w:szCs w:val="20"/>
              </w:rPr>
              <w:t>(a) to provide a consistent planning regime for the provision of affordable rental housing,</w:t>
            </w:r>
          </w:p>
          <w:p w14:paraId="47F27CF4" w14:textId="77777777" w:rsidR="0090328B" w:rsidRPr="005B0D83" w:rsidRDefault="0090328B" w:rsidP="00C41F6C">
            <w:pPr>
              <w:pStyle w:val="Default"/>
              <w:ind w:left="317" w:hanging="284"/>
              <w:rPr>
                <w:sz w:val="20"/>
                <w:szCs w:val="20"/>
              </w:rPr>
            </w:pPr>
            <w:r w:rsidRPr="005B0D83">
              <w:rPr>
                <w:sz w:val="20"/>
                <w:szCs w:val="20"/>
              </w:rPr>
              <w:t>(b) to facilitate the effective delivery of new affordable rental housing by providing incentives by way of expanded zoning permissibility, floor space ratio bonuses and non-discretionary development standards,</w:t>
            </w:r>
          </w:p>
          <w:p w14:paraId="3CB07009" w14:textId="77777777" w:rsidR="0090328B" w:rsidRPr="005B0D83" w:rsidRDefault="0090328B" w:rsidP="00C41F6C">
            <w:pPr>
              <w:pStyle w:val="Default"/>
              <w:ind w:left="317" w:hanging="284"/>
              <w:rPr>
                <w:sz w:val="20"/>
                <w:szCs w:val="20"/>
              </w:rPr>
            </w:pPr>
            <w:r w:rsidRPr="005B0D83">
              <w:rPr>
                <w:sz w:val="20"/>
                <w:szCs w:val="20"/>
              </w:rPr>
              <w:t>(c) to facilitate the retention and mitigate the loss of existing affordable rental housing,</w:t>
            </w:r>
          </w:p>
          <w:p w14:paraId="57C6E97A" w14:textId="77777777" w:rsidR="0090328B" w:rsidRPr="005B0D83" w:rsidRDefault="0090328B" w:rsidP="00C41F6C">
            <w:pPr>
              <w:pStyle w:val="Default"/>
              <w:ind w:left="317" w:hanging="284"/>
              <w:rPr>
                <w:sz w:val="20"/>
                <w:szCs w:val="20"/>
              </w:rPr>
            </w:pPr>
            <w:r w:rsidRPr="005B0D83">
              <w:rPr>
                <w:sz w:val="20"/>
                <w:szCs w:val="20"/>
              </w:rPr>
              <w:t>(d) to employ a balanced approach between obligations for retaining and mitigating the loss of existing affordable rental housing, and incentives for the development of new affordable rental housing,</w:t>
            </w:r>
          </w:p>
          <w:p w14:paraId="04F7CFDB" w14:textId="77777777" w:rsidR="0090328B" w:rsidRPr="005B0D83" w:rsidRDefault="0090328B" w:rsidP="00C41F6C">
            <w:pPr>
              <w:pStyle w:val="Default"/>
              <w:ind w:left="317" w:hanging="284"/>
              <w:rPr>
                <w:sz w:val="20"/>
                <w:szCs w:val="20"/>
              </w:rPr>
            </w:pPr>
            <w:r w:rsidRPr="005B0D83">
              <w:rPr>
                <w:sz w:val="20"/>
                <w:szCs w:val="20"/>
              </w:rPr>
              <w:t>(e) to facilitate an expanded role for not-for-profit-providers of affordable rental housing,</w:t>
            </w:r>
          </w:p>
          <w:p w14:paraId="31EDB291" w14:textId="77777777" w:rsidR="0090328B" w:rsidRPr="005B0D83" w:rsidRDefault="0090328B" w:rsidP="00C41F6C">
            <w:pPr>
              <w:pStyle w:val="Default"/>
              <w:ind w:left="317" w:hanging="284"/>
              <w:rPr>
                <w:sz w:val="20"/>
                <w:szCs w:val="20"/>
              </w:rPr>
            </w:pPr>
            <w:r w:rsidRPr="005B0D83">
              <w:rPr>
                <w:sz w:val="20"/>
                <w:szCs w:val="20"/>
              </w:rPr>
              <w:lastRenderedPageBreak/>
              <w:t>(f) to support local business centres by providing affordable rental housing for workers close to places of work,</w:t>
            </w:r>
          </w:p>
          <w:p w14:paraId="06E82C63" w14:textId="77777777" w:rsidR="0090328B" w:rsidRPr="005B0D83" w:rsidRDefault="0090328B" w:rsidP="00C41F6C">
            <w:pPr>
              <w:pStyle w:val="Default"/>
              <w:ind w:left="317" w:hanging="284"/>
              <w:rPr>
                <w:sz w:val="20"/>
                <w:szCs w:val="20"/>
              </w:rPr>
            </w:pPr>
            <w:r w:rsidRPr="005B0D83">
              <w:rPr>
                <w:sz w:val="20"/>
                <w:szCs w:val="20"/>
              </w:rPr>
              <w:t>(g) to facilitate the development of housing for the homeless and other d is advantaged people who may require support services, including group homes and supportive accommodation.</w:t>
            </w:r>
          </w:p>
        </w:tc>
        <w:tc>
          <w:tcPr>
            <w:tcW w:w="3685" w:type="dxa"/>
            <w:shd w:val="clear" w:color="auto" w:fill="auto"/>
          </w:tcPr>
          <w:p w14:paraId="13FB7EED" w14:textId="6597482B" w:rsidR="0090328B" w:rsidRPr="005B0D83" w:rsidRDefault="005B0D83" w:rsidP="005B0D83">
            <w:pPr>
              <w:spacing w:after="0"/>
              <w:rPr>
                <w:sz w:val="20"/>
                <w:szCs w:val="20"/>
              </w:rPr>
            </w:pPr>
            <w:r w:rsidRPr="005B0D83">
              <w:rPr>
                <w:sz w:val="20"/>
                <w:szCs w:val="20"/>
                <w:lang w:eastAsia="en-AU"/>
              </w:rPr>
              <w:lastRenderedPageBreak/>
              <w:t>Nothing in this Planning Proposal impacts on the operation of this SEPP.</w:t>
            </w:r>
          </w:p>
        </w:tc>
      </w:tr>
      <w:tr w:rsidR="0090328B" w:rsidRPr="005B0D83" w14:paraId="5C42D4C2" w14:textId="77777777" w:rsidTr="003B1F6D">
        <w:trPr>
          <w:trHeight w:val="283"/>
        </w:trPr>
        <w:tc>
          <w:tcPr>
            <w:tcW w:w="2405" w:type="dxa"/>
            <w:shd w:val="clear" w:color="auto" w:fill="auto"/>
          </w:tcPr>
          <w:p w14:paraId="0235C31D" w14:textId="77777777" w:rsidR="0090328B" w:rsidRPr="005B0D83" w:rsidRDefault="0090328B" w:rsidP="00C41F6C">
            <w:pPr>
              <w:spacing w:after="0"/>
              <w:jc w:val="left"/>
              <w:rPr>
                <w:b/>
                <w:sz w:val="20"/>
                <w:szCs w:val="20"/>
              </w:rPr>
            </w:pPr>
            <w:r w:rsidRPr="005B0D83">
              <w:rPr>
                <w:b/>
                <w:sz w:val="20"/>
                <w:szCs w:val="20"/>
              </w:rPr>
              <w:t>SEPP Building Sustainability Index: BASIX 2004</w:t>
            </w:r>
          </w:p>
        </w:tc>
        <w:tc>
          <w:tcPr>
            <w:tcW w:w="4253" w:type="dxa"/>
            <w:shd w:val="clear" w:color="auto" w:fill="auto"/>
          </w:tcPr>
          <w:p w14:paraId="638ADD2A" w14:textId="77777777" w:rsidR="0090328B" w:rsidRPr="005B0D83" w:rsidRDefault="0090328B" w:rsidP="00C41F6C">
            <w:pPr>
              <w:spacing w:after="0"/>
              <w:rPr>
                <w:sz w:val="20"/>
                <w:szCs w:val="20"/>
                <w:lang w:eastAsia="en-AU"/>
              </w:rPr>
            </w:pPr>
            <w:r w:rsidRPr="005B0D83">
              <w:rPr>
                <w:sz w:val="20"/>
                <w:szCs w:val="20"/>
                <w:lang w:eastAsia="en-AU"/>
              </w:rPr>
              <w:t>The SEPP provides for the implementation of BASIX throughout the State.</w:t>
            </w:r>
          </w:p>
        </w:tc>
        <w:tc>
          <w:tcPr>
            <w:tcW w:w="3685" w:type="dxa"/>
            <w:shd w:val="clear" w:color="auto" w:fill="auto"/>
          </w:tcPr>
          <w:p w14:paraId="615385DA" w14:textId="6E9A86C0" w:rsidR="0090328B" w:rsidRPr="005B0D83" w:rsidRDefault="005B0D83" w:rsidP="005B0D83">
            <w:pPr>
              <w:spacing w:after="0"/>
              <w:rPr>
                <w:sz w:val="20"/>
                <w:szCs w:val="20"/>
              </w:rPr>
            </w:pPr>
            <w:r w:rsidRPr="005B0D83">
              <w:rPr>
                <w:sz w:val="20"/>
                <w:szCs w:val="20"/>
                <w:lang w:eastAsia="en-AU"/>
              </w:rPr>
              <w:t>Nothing in this Planning Proposal impacts on the operation of this SEPP.</w:t>
            </w:r>
          </w:p>
        </w:tc>
      </w:tr>
      <w:tr w:rsidR="005B0D83" w:rsidRPr="005B0D83" w14:paraId="41F7AE79" w14:textId="77777777" w:rsidTr="003B1F6D">
        <w:trPr>
          <w:trHeight w:val="283"/>
        </w:trPr>
        <w:tc>
          <w:tcPr>
            <w:tcW w:w="2405" w:type="dxa"/>
            <w:shd w:val="clear" w:color="auto" w:fill="auto"/>
          </w:tcPr>
          <w:p w14:paraId="73DC45A5" w14:textId="77777777" w:rsidR="005B0D83" w:rsidRPr="005B0D83" w:rsidRDefault="005B0D83" w:rsidP="005B0D83">
            <w:pPr>
              <w:spacing w:after="0"/>
              <w:jc w:val="left"/>
              <w:rPr>
                <w:b/>
                <w:sz w:val="20"/>
                <w:szCs w:val="20"/>
              </w:rPr>
            </w:pPr>
            <w:r w:rsidRPr="005B0D83">
              <w:rPr>
                <w:b/>
                <w:sz w:val="20"/>
                <w:szCs w:val="20"/>
              </w:rPr>
              <w:t>SEPP (Coastal</w:t>
            </w:r>
          </w:p>
          <w:p w14:paraId="6468CEAA" w14:textId="77777777" w:rsidR="005B0D83" w:rsidRPr="005B0D83" w:rsidRDefault="005B0D83" w:rsidP="005B0D83">
            <w:pPr>
              <w:spacing w:after="0"/>
              <w:jc w:val="left"/>
              <w:rPr>
                <w:b/>
                <w:sz w:val="20"/>
                <w:szCs w:val="20"/>
              </w:rPr>
            </w:pPr>
            <w:r w:rsidRPr="005B0D83">
              <w:rPr>
                <w:b/>
                <w:sz w:val="20"/>
                <w:szCs w:val="20"/>
              </w:rPr>
              <w:t>Management) 2018</w:t>
            </w:r>
          </w:p>
          <w:p w14:paraId="35971219" w14:textId="7C5E9DB5" w:rsidR="005B0D83" w:rsidRPr="005B0D83" w:rsidRDefault="005B0D83" w:rsidP="005B0D83">
            <w:pPr>
              <w:spacing w:after="0"/>
              <w:jc w:val="left"/>
              <w:rPr>
                <w:b/>
                <w:sz w:val="20"/>
                <w:szCs w:val="20"/>
              </w:rPr>
            </w:pPr>
          </w:p>
        </w:tc>
        <w:tc>
          <w:tcPr>
            <w:tcW w:w="4253" w:type="dxa"/>
            <w:shd w:val="clear" w:color="auto" w:fill="auto"/>
          </w:tcPr>
          <w:p w14:paraId="08A6B799" w14:textId="33F65E25" w:rsidR="005B0D83" w:rsidRPr="005B0D83" w:rsidRDefault="005B0D83" w:rsidP="005B0D83">
            <w:pPr>
              <w:spacing w:after="0"/>
              <w:rPr>
                <w:sz w:val="20"/>
                <w:szCs w:val="20"/>
              </w:rPr>
            </w:pPr>
            <w:r w:rsidRPr="005B0D83">
              <w:rPr>
                <w:sz w:val="20"/>
                <w:szCs w:val="20"/>
              </w:rPr>
              <w:t>The aim of this Policy is to promote</w:t>
            </w:r>
            <w:r>
              <w:rPr>
                <w:sz w:val="20"/>
                <w:szCs w:val="20"/>
              </w:rPr>
              <w:t xml:space="preserve"> </w:t>
            </w:r>
            <w:r w:rsidRPr="005B0D83">
              <w:rPr>
                <w:sz w:val="20"/>
                <w:szCs w:val="20"/>
              </w:rPr>
              <w:t>an integrated and co-ordinated</w:t>
            </w:r>
            <w:r>
              <w:rPr>
                <w:sz w:val="20"/>
                <w:szCs w:val="20"/>
              </w:rPr>
              <w:t xml:space="preserve"> </w:t>
            </w:r>
            <w:r w:rsidRPr="005B0D83">
              <w:rPr>
                <w:sz w:val="20"/>
                <w:szCs w:val="20"/>
              </w:rPr>
              <w:t>approach to land use planning in the</w:t>
            </w:r>
            <w:r>
              <w:rPr>
                <w:sz w:val="20"/>
                <w:szCs w:val="20"/>
              </w:rPr>
              <w:t xml:space="preserve"> </w:t>
            </w:r>
            <w:r w:rsidRPr="005B0D83">
              <w:rPr>
                <w:sz w:val="20"/>
                <w:szCs w:val="20"/>
              </w:rPr>
              <w:t>coastal zone in a manner consistent</w:t>
            </w:r>
            <w:r>
              <w:rPr>
                <w:sz w:val="20"/>
                <w:szCs w:val="20"/>
              </w:rPr>
              <w:t xml:space="preserve"> </w:t>
            </w:r>
            <w:r w:rsidRPr="005B0D83">
              <w:rPr>
                <w:sz w:val="20"/>
                <w:szCs w:val="20"/>
              </w:rPr>
              <w:t>with the objects of the Coastal</w:t>
            </w:r>
            <w:r>
              <w:rPr>
                <w:sz w:val="20"/>
                <w:szCs w:val="20"/>
              </w:rPr>
              <w:t xml:space="preserve"> </w:t>
            </w:r>
            <w:r w:rsidRPr="005B0D83">
              <w:rPr>
                <w:sz w:val="20"/>
                <w:szCs w:val="20"/>
              </w:rPr>
              <w:t>Management Act 2016, including</w:t>
            </w:r>
            <w:r>
              <w:rPr>
                <w:sz w:val="20"/>
                <w:szCs w:val="20"/>
              </w:rPr>
              <w:t xml:space="preserve"> </w:t>
            </w:r>
            <w:r w:rsidRPr="005B0D83">
              <w:rPr>
                <w:sz w:val="20"/>
                <w:szCs w:val="20"/>
              </w:rPr>
              <w:t>the management objectives for each</w:t>
            </w:r>
            <w:r>
              <w:rPr>
                <w:sz w:val="20"/>
                <w:szCs w:val="20"/>
              </w:rPr>
              <w:t xml:space="preserve"> </w:t>
            </w:r>
            <w:r w:rsidRPr="005B0D83">
              <w:rPr>
                <w:sz w:val="20"/>
                <w:szCs w:val="20"/>
              </w:rPr>
              <w:t>coastal management area, by—</w:t>
            </w:r>
          </w:p>
          <w:p w14:paraId="3A0C80F6" w14:textId="02B7CD88" w:rsidR="005B0D83" w:rsidRPr="005B0D83" w:rsidRDefault="005B0D83" w:rsidP="005B0D83">
            <w:pPr>
              <w:pStyle w:val="Default"/>
              <w:ind w:left="317" w:hanging="284"/>
              <w:rPr>
                <w:sz w:val="20"/>
                <w:szCs w:val="20"/>
              </w:rPr>
            </w:pPr>
            <w:r w:rsidRPr="005B0D83">
              <w:rPr>
                <w:sz w:val="20"/>
                <w:szCs w:val="20"/>
              </w:rPr>
              <w:t>(a) managing development in the</w:t>
            </w:r>
            <w:r>
              <w:rPr>
                <w:sz w:val="20"/>
                <w:szCs w:val="20"/>
              </w:rPr>
              <w:t xml:space="preserve"> </w:t>
            </w:r>
            <w:r w:rsidRPr="005B0D83">
              <w:rPr>
                <w:sz w:val="20"/>
                <w:szCs w:val="20"/>
              </w:rPr>
              <w:t>coastal zone and protecting the</w:t>
            </w:r>
            <w:r>
              <w:rPr>
                <w:sz w:val="20"/>
                <w:szCs w:val="20"/>
              </w:rPr>
              <w:t xml:space="preserve"> </w:t>
            </w:r>
            <w:r w:rsidRPr="005B0D83">
              <w:rPr>
                <w:sz w:val="20"/>
                <w:szCs w:val="20"/>
              </w:rPr>
              <w:t>environmental assets of the</w:t>
            </w:r>
            <w:r>
              <w:rPr>
                <w:sz w:val="20"/>
                <w:szCs w:val="20"/>
              </w:rPr>
              <w:t xml:space="preserve"> </w:t>
            </w:r>
            <w:r w:rsidRPr="005B0D83">
              <w:rPr>
                <w:sz w:val="20"/>
                <w:szCs w:val="20"/>
              </w:rPr>
              <w:t>coast, and</w:t>
            </w:r>
          </w:p>
          <w:p w14:paraId="7BD101CD" w14:textId="3FE31DC1" w:rsidR="005B0D83" w:rsidRPr="005B0D83" w:rsidRDefault="005B0D83" w:rsidP="005B0D83">
            <w:pPr>
              <w:pStyle w:val="Default"/>
              <w:ind w:left="317" w:hanging="284"/>
              <w:rPr>
                <w:sz w:val="20"/>
                <w:szCs w:val="20"/>
              </w:rPr>
            </w:pPr>
            <w:r w:rsidRPr="005B0D83">
              <w:rPr>
                <w:sz w:val="20"/>
                <w:szCs w:val="20"/>
              </w:rPr>
              <w:t>(b) establishing a framework for land</w:t>
            </w:r>
            <w:r>
              <w:rPr>
                <w:sz w:val="20"/>
                <w:szCs w:val="20"/>
              </w:rPr>
              <w:t xml:space="preserve"> </w:t>
            </w:r>
            <w:r w:rsidRPr="005B0D83">
              <w:rPr>
                <w:sz w:val="20"/>
                <w:szCs w:val="20"/>
              </w:rPr>
              <w:t>use planning to guide decision</w:t>
            </w:r>
            <w:r>
              <w:rPr>
                <w:sz w:val="20"/>
                <w:szCs w:val="20"/>
              </w:rPr>
              <w:t xml:space="preserve"> </w:t>
            </w:r>
            <w:r w:rsidRPr="005B0D83">
              <w:rPr>
                <w:sz w:val="20"/>
                <w:szCs w:val="20"/>
              </w:rPr>
              <w:t>making</w:t>
            </w:r>
            <w:r>
              <w:rPr>
                <w:sz w:val="20"/>
                <w:szCs w:val="20"/>
              </w:rPr>
              <w:t xml:space="preserve"> </w:t>
            </w:r>
            <w:r w:rsidRPr="005B0D83">
              <w:rPr>
                <w:sz w:val="20"/>
                <w:szCs w:val="20"/>
              </w:rPr>
              <w:t>in the coastal zone, and</w:t>
            </w:r>
          </w:p>
          <w:p w14:paraId="7F9E150E" w14:textId="168371A7" w:rsidR="005B0D83" w:rsidRPr="005B0D83" w:rsidRDefault="005B0D83" w:rsidP="005B0D83">
            <w:pPr>
              <w:pStyle w:val="Default"/>
              <w:ind w:left="317" w:hanging="284"/>
              <w:rPr>
                <w:sz w:val="20"/>
                <w:szCs w:val="20"/>
              </w:rPr>
            </w:pPr>
            <w:r w:rsidRPr="005B0D83">
              <w:rPr>
                <w:sz w:val="20"/>
                <w:szCs w:val="20"/>
              </w:rPr>
              <w:t>(c) mapping the 4 coastal</w:t>
            </w:r>
            <w:r>
              <w:rPr>
                <w:sz w:val="20"/>
                <w:szCs w:val="20"/>
              </w:rPr>
              <w:t xml:space="preserve"> </w:t>
            </w:r>
            <w:r w:rsidRPr="005B0D83">
              <w:rPr>
                <w:sz w:val="20"/>
                <w:szCs w:val="20"/>
              </w:rPr>
              <w:t>management areas that</w:t>
            </w:r>
            <w:r>
              <w:rPr>
                <w:sz w:val="20"/>
                <w:szCs w:val="20"/>
              </w:rPr>
              <w:t xml:space="preserve"> </w:t>
            </w:r>
            <w:r w:rsidRPr="005B0D83">
              <w:rPr>
                <w:sz w:val="20"/>
                <w:szCs w:val="20"/>
              </w:rPr>
              <w:t>comprise the NSW coastal zone</w:t>
            </w:r>
            <w:r>
              <w:rPr>
                <w:sz w:val="20"/>
                <w:szCs w:val="20"/>
              </w:rPr>
              <w:t xml:space="preserve"> </w:t>
            </w:r>
            <w:r w:rsidRPr="005B0D83">
              <w:rPr>
                <w:sz w:val="20"/>
                <w:szCs w:val="20"/>
              </w:rPr>
              <w:t>for the purpose of the definitions</w:t>
            </w:r>
            <w:r>
              <w:rPr>
                <w:sz w:val="20"/>
                <w:szCs w:val="20"/>
              </w:rPr>
              <w:t xml:space="preserve"> </w:t>
            </w:r>
            <w:r w:rsidRPr="005B0D83">
              <w:rPr>
                <w:sz w:val="20"/>
                <w:szCs w:val="20"/>
              </w:rPr>
              <w:t>in the Coastal Management Act</w:t>
            </w:r>
            <w:r>
              <w:rPr>
                <w:sz w:val="20"/>
                <w:szCs w:val="20"/>
              </w:rPr>
              <w:t xml:space="preserve"> </w:t>
            </w:r>
            <w:r w:rsidRPr="005B0D83">
              <w:rPr>
                <w:sz w:val="20"/>
                <w:szCs w:val="20"/>
              </w:rPr>
              <w:t>2016.</w:t>
            </w:r>
          </w:p>
        </w:tc>
        <w:tc>
          <w:tcPr>
            <w:tcW w:w="3685" w:type="dxa"/>
            <w:shd w:val="clear" w:color="auto" w:fill="auto"/>
          </w:tcPr>
          <w:p w14:paraId="6E9AC154" w14:textId="12A3B7B1" w:rsidR="005B0D83" w:rsidRPr="005B0D83" w:rsidRDefault="005B0D83" w:rsidP="005B0D83">
            <w:pPr>
              <w:spacing w:after="0"/>
              <w:jc w:val="left"/>
              <w:rPr>
                <w:sz w:val="20"/>
                <w:szCs w:val="20"/>
              </w:rPr>
            </w:pPr>
            <w:r w:rsidRPr="005B0D83">
              <w:rPr>
                <w:sz w:val="20"/>
                <w:szCs w:val="20"/>
              </w:rPr>
              <w:t>Nothing in this Planning Proposal</w:t>
            </w:r>
            <w:r>
              <w:rPr>
                <w:sz w:val="20"/>
                <w:szCs w:val="20"/>
              </w:rPr>
              <w:t xml:space="preserve"> </w:t>
            </w:r>
            <w:r w:rsidRPr="005B0D83">
              <w:rPr>
                <w:sz w:val="20"/>
                <w:szCs w:val="20"/>
              </w:rPr>
              <w:t>impacts on the operation</w:t>
            </w:r>
            <w:r w:rsidRPr="005B0D83">
              <w:rPr>
                <w:sz w:val="20"/>
                <w:szCs w:val="20"/>
                <w:lang w:eastAsia="en-AU"/>
              </w:rPr>
              <w:t xml:space="preserve"> of this SEPP.</w:t>
            </w:r>
          </w:p>
        </w:tc>
      </w:tr>
      <w:tr w:rsidR="005B0D83" w:rsidRPr="005B0D83" w14:paraId="1E0E853F" w14:textId="77777777" w:rsidTr="003B1F6D">
        <w:trPr>
          <w:trHeight w:val="283"/>
        </w:trPr>
        <w:tc>
          <w:tcPr>
            <w:tcW w:w="2405" w:type="dxa"/>
            <w:shd w:val="clear" w:color="auto" w:fill="auto"/>
          </w:tcPr>
          <w:p w14:paraId="7348C6D0" w14:textId="77777777" w:rsidR="005B0D83" w:rsidRPr="005B0D83" w:rsidRDefault="005B0D83" w:rsidP="005B0D83">
            <w:pPr>
              <w:spacing w:after="0"/>
              <w:jc w:val="left"/>
              <w:rPr>
                <w:b/>
                <w:sz w:val="20"/>
                <w:szCs w:val="20"/>
              </w:rPr>
            </w:pPr>
            <w:r w:rsidRPr="005B0D83">
              <w:rPr>
                <w:b/>
                <w:sz w:val="20"/>
                <w:szCs w:val="20"/>
              </w:rPr>
              <w:t>SEPP (Concurrences</w:t>
            </w:r>
          </w:p>
          <w:p w14:paraId="562EC8CC" w14:textId="4A000B14" w:rsidR="005B0D83" w:rsidRPr="005B0D83" w:rsidRDefault="005B0D83" w:rsidP="005B0D83">
            <w:pPr>
              <w:spacing w:after="0"/>
              <w:jc w:val="left"/>
              <w:rPr>
                <w:b/>
                <w:sz w:val="20"/>
                <w:szCs w:val="20"/>
              </w:rPr>
            </w:pPr>
            <w:r w:rsidRPr="005B0D83">
              <w:rPr>
                <w:b/>
                <w:sz w:val="20"/>
                <w:szCs w:val="20"/>
              </w:rPr>
              <w:t>and Consents) 2018</w:t>
            </w:r>
          </w:p>
        </w:tc>
        <w:tc>
          <w:tcPr>
            <w:tcW w:w="4253" w:type="dxa"/>
            <w:shd w:val="clear" w:color="auto" w:fill="auto"/>
          </w:tcPr>
          <w:p w14:paraId="5BDA1020" w14:textId="77777777" w:rsidR="005B0D83" w:rsidRPr="005B0D83" w:rsidRDefault="005B0D83" w:rsidP="00C41F6C">
            <w:pPr>
              <w:spacing w:after="0"/>
              <w:rPr>
                <w:sz w:val="20"/>
                <w:szCs w:val="20"/>
              </w:rPr>
            </w:pPr>
          </w:p>
        </w:tc>
        <w:tc>
          <w:tcPr>
            <w:tcW w:w="3685" w:type="dxa"/>
            <w:shd w:val="clear" w:color="auto" w:fill="auto"/>
          </w:tcPr>
          <w:p w14:paraId="57A9898B" w14:textId="63076010" w:rsidR="005B0D83" w:rsidRPr="005B0D83" w:rsidRDefault="005B0D83" w:rsidP="005B0D83">
            <w:pPr>
              <w:spacing w:after="0"/>
              <w:rPr>
                <w:sz w:val="20"/>
                <w:szCs w:val="20"/>
                <w:lang w:eastAsia="en-AU"/>
              </w:rPr>
            </w:pPr>
            <w:r w:rsidRPr="005B0D83">
              <w:rPr>
                <w:sz w:val="20"/>
                <w:szCs w:val="20"/>
              </w:rPr>
              <w:t>Nothing in this Planning Proposal</w:t>
            </w:r>
            <w:r>
              <w:rPr>
                <w:sz w:val="20"/>
                <w:szCs w:val="20"/>
              </w:rPr>
              <w:t xml:space="preserve"> </w:t>
            </w:r>
            <w:r w:rsidRPr="005B0D83">
              <w:rPr>
                <w:sz w:val="20"/>
                <w:szCs w:val="20"/>
              </w:rPr>
              <w:t>impacts on the operation</w:t>
            </w:r>
            <w:r w:rsidRPr="005B0D83">
              <w:rPr>
                <w:sz w:val="20"/>
                <w:szCs w:val="20"/>
                <w:lang w:eastAsia="en-AU"/>
              </w:rPr>
              <w:t xml:space="preserve"> of this SEPP.</w:t>
            </w:r>
          </w:p>
        </w:tc>
      </w:tr>
      <w:tr w:rsidR="0090328B" w:rsidRPr="005B0D83" w14:paraId="2041137D" w14:textId="77777777" w:rsidTr="003B1F6D">
        <w:trPr>
          <w:trHeight w:val="283"/>
        </w:trPr>
        <w:tc>
          <w:tcPr>
            <w:tcW w:w="2405" w:type="dxa"/>
            <w:shd w:val="clear" w:color="auto" w:fill="auto"/>
          </w:tcPr>
          <w:p w14:paraId="0AE90B25" w14:textId="77777777" w:rsidR="0090328B" w:rsidRPr="005B0D83" w:rsidRDefault="0090328B" w:rsidP="00C41F6C">
            <w:pPr>
              <w:spacing w:after="0"/>
              <w:jc w:val="left"/>
              <w:rPr>
                <w:b/>
                <w:sz w:val="20"/>
                <w:szCs w:val="20"/>
              </w:rPr>
            </w:pPr>
            <w:r w:rsidRPr="005B0D83">
              <w:rPr>
                <w:b/>
                <w:sz w:val="20"/>
                <w:szCs w:val="20"/>
              </w:rPr>
              <w:t>SEPP (Educational Establishments and Child Care Facilities) 2017</w:t>
            </w:r>
          </w:p>
        </w:tc>
        <w:tc>
          <w:tcPr>
            <w:tcW w:w="4253" w:type="dxa"/>
            <w:shd w:val="clear" w:color="auto" w:fill="auto"/>
          </w:tcPr>
          <w:p w14:paraId="295D36CD" w14:textId="77777777" w:rsidR="0090328B" w:rsidRPr="005B0D83" w:rsidRDefault="0090328B" w:rsidP="00C41F6C">
            <w:pPr>
              <w:spacing w:after="0"/>
              <w:rPr>
                <w:sz w:val="20"/>
                <w:szCs w:val="20"/>
              </w:rPr>
            </w:pPr>
            <w:r w:rsidRPr="005B0D83">
              <w:rPr>
                <w:sz w:val="20"/>
                <w:szCs w:val="20"/>
              </w:rPr>
              <w:t>The aim of this Policy is to facilitate the effective delivery of educational establishments and early education and care facilities across the State by:</w:t>
            </w:r>
          </w:p>
          <w:p w14:paraId="780C1E53" w14:textId="77777777" w:rsidR="0090328B" w:rsidRPr="005B0D83" w:rsidRDefault="0090328B" w:rsidP="00C41F6C">
            <w:pPr>
              <w:pStyle w:val="Default"/>
              <w:ind w:left="317" w:hanging="284"/>
              <w:rPr>
                <w:sz w:val="20"/>
                <w:szCs w:val="20"/>
              </w:rPr>
            </w:pPr>
            <w:r w:rsidRPr="005B0D83">
              <w:rPr>
                <w:sz w:val="20"/>
                <w:szCs w:val="20"/>
              </w:rPr>
              <w:t>(a)  improving regulatory certainty and efficiency through a consistent planning regime for educational establishments and early education and care facilities, and</w:t>
            </w:r>
          </w:p>
          <w:p w14:paraId="03F45DC7" w14:textId="77777777" w:rsidR="0090328B" w:rsidRPr="005B0D83" w:rsidRDefault="0090328B" w:rsidP="00C41F6C">
            <w:pPr>
              <w:pStyle w:val="Default"/>
              <w:ind w:left="317" w:hanging="284"/>
              <w:rPr>
                <w:sz w:val="20"/>
                <w:szCs w:val="20"/>
              </w:rPr>
            </w:pPr>
            <w:r w:rsidRPr="005B0D83">
              <w:rPr>
                <w:sz w:val="20"/>
                <w:szCs w:val="20"/>
              </w:rPr>
              <w:t>(b)  simplifying and standardising planning approval pathways for educational establishments and early education and care facilities (including identifying certain development of minimal environmental impact as exempt development), and</w:t>
            </w:r>
          </w:p>
          <w:p w14:paraId="50BE4614" w14:textId="77777777" w:rsidR="0090328B" w:rsidRPr="005B0D83" w:rsidRDefault="0090328B" w:rsidP="00C41F6C">
            <w:pPr>
              <w:pStyle w:val="Default"/>
              <w:ind w:left="317" w:hanging="284"/>
              <w:rPr>
                <w:sz w:val="20"/>
                <w:szCs w:val="20"/>
              </w:rPr>
            </w:pPr>
            <w:r w:rsidRPr="005B0D83">
              <w:rPr>
                <w:sz w:val="20"/>
                <w:szCs w:val="20"/>
              </w:rPr>
              <w:t>(c)  establishing consistent State-wide assessment requirements and design considerations for educational establishments and early education and care facilities to improve the quality of infrastructure delivered and to minimise impacts on surrounding areas, and</w:t>
            </w:r>
          </w:p>
          <w:p w14:paraId="2E933C3E" w14:textId="77777777" w:rsidR="0090328B" w:rsidRPr="005B0D83" w:rsidRDefault="0090328B" w:rsidP="00C41F6C">
            <w:pPr>
              <w:pStyle w:val="Default"/>
              <w:ind w:left="317" w:hanging="284"/>
              <w:rPr>
                <w:sz w:val="20"/>
                <w:szCs w:val="20"/>
              </w:rPr>
            </w:pPr>
            <w:r w:rsidRPr="005B0D83">
              <w:rPr>
                <w:sz w:val="20"/>
                <w:szCs w:val="20"/>
              </w:rPr>
              <w:t>(d)  allowing for the efficient development, redevelopment or use of surplus government-owned land (including providing for consultation with communities regarding educational establishments in their local area), and</w:t>
            </w:r>
          </w:p>
          <w:p w14:paraId="617ADB3B" w14:textId="77777777" w:rsidR="0090328B" w:rsidRPr="005B0D83" w:rsidRDefault="0090328B" w:rsidP="00C41F6C">
            <w:pPr>
              <w:pStyle w:val="Default"/>
              <w:ind w:left="317" w:hanging="284"/>
              <w:rPr>
                <w:sz w:val="20"/>
                <w:szCs w:val="20"/>
              </w:rPr>
            </w:pPr>
            <w:r w:rsidRPr="005B0D83">
              <w:rPr>
                <w:sz w:val="20"/>
                <w:szCs w:val="20"/>
              </w:rPr>
              <w:t>(e)  providing for consultation with relevant public authorities about certain development during the assessment process or prior to development commencing, and</w:t>
            </w:r>
          </w:p>
          <w:p w14:paraId="413955ED" w14:textId="77777777" w:rsidR="0090328B" w:rsidRPr="005B0D83" w:rsidRDefault="0090328B" w:rsidP="00C41F6C">
            <w:pPr>
              <w:pStyle w:val="Default"/>
              <w:ind w:left="317" w:hanging="284"/>
              <w:rPr>
                <w:sz w:val="20"/>
                <w:szCs w:val="20"/>
              </w:rPr>
            </w:pPr>
            <w:r w:rsidRPr="005B0D83">
              <w:rPr>
                <w:sz w:val="20"/>
                <w:szCs w:val="20"/>
              </w:rPr>
              <w:lastRenderedPageBreak/>
              <w:t>(f)  aligning the NSW planning framework with the National Quality Framework that regulates early education and care services, and</w:t>
            </w:r>
          </w:p>
          <w:p w14:paraId="4FA249BA" w14:textId="77777777" w:rsidR="0090328B" w:rsidRPr="005B0D83" w:rsidRDefault="0090328B" w:rsidP="00C41F6C">
            <w:pPr>
              <w:pStyle w:val="Default"/>
              <w:ind w:left="317" w:hanging="284"/>
              <w:rPr>
                <w:sz w:val="20"/>
                <w:szCs w:val="20"/>
              </w:rPr>
            </w:pPr>
            <w:r w:rsidRPr="005B0D83">
              <w:rPr>
                <w:sz w:val="20"/>
                <w:szCs w:val="20"/>
              </w:rPr>
              <w:t>(g)  ensuring that proponents of new developments or modified premises meet the applicable requirements of the National Quality Framework for early education and care services, and of the corresponding regime for State regulated education and care services, as part of the planning approval and development process, and</w:t>
            </w:r>
          </w:p>
          <w:p w14:paraId="1FF33C3D" w14:textId="77777777" w:rsidR="0090328B" w:rsidRPr="005B0D83" w:rsidRDefault="0090328B" w:rsidP="00C41F6C">
            <w:pPr>
              <w:pStyle w:val="Default"/>
              <w:ind w:left="317" w:hanging="284"/>
              <w:rPr>
                <w:sz w:val="20"/>
                <w:szCs w:val="20"/>
              </w:rPr>
            </w:pPr>
            <w:r w:rsidRPr="005B0D83">
              <w:rPr>
                <w:sz w:val="20"/>
                <w:szCs w:val="20"/>
              </w:rPr>
              <w:t>(h)  encouraging proponents of new developments or modified premises and consent authorities to facilitate the joint and shared use of the facilities of educational establishments with the community through appropriate design.</w:t>
            </w:r>
          </w:p>
        </w:tc>
        <w:tc>
          <w:tcPr>
            <w:tcW w:w="3685" w:type="dxa"/>
            <w:shd w:val="clear" w:color="auto" w:fill="auto"/>
          </w:tcPr>
          <w:p w14:paraId="515AB791" w14:textId="5E42E3CC" w:rsidR="0090328B" w:rsidRPr="005B0D83" w:rsidRDefault="005B0D83" w:rsidP="005B0D83">
            <w:pPr>
              <w:spacing w:after="0"/>
              <w:rPr>
                <w:sz w:val="20"/>
                <w:szCs w:val="20"/>
              </w:rPr>
            </w:pPr>
            <w:r w:rsidRPr="005B0D83">
              <w:rPr>
                <w:sz w:val="20"/>
                <w:szCs w:val="20"/>
                <w:lang w:eastAsia="en-AU"/>
              </w:rPr>
              <w:lastRenderedPageBreak/>
              <w:t>Nothing in this Planning Proposal impacts on the operation of this SEPP.</w:t>
            </w:r>
            <w:r w:rsidR="006822D2" w:rsidRPr="005B0D83">
              <w:rPr>
                <w:sz w:val="20"/>
                <w:szCs w:val="20"/>
              </w:rPr>
              <w:t xml:space="preserve"> </w:t>
            </w:r>
          </w:p>
        </w:tc>
      </w:tr>
      <w:tr w:rsidR="005B0D83" w:rsidRPr="005B0D83" w14:paraId="14826BC4" w14:textId="77777777" w:rsidTr="003B1F6D">
        <w:trPr>
          <w:trHeight w:val="283"/>
        </w:trPr>
        <w:tc>
          <w:tcPr>
            <w:tcW w:w="2405" w:type="dxa"/>
            <w:shd w:val="clear" w:color="auto" w:fill="auto"/>
          </w:tcPr>
          <w:p w14:paraId="7B9565C4" w14:textId="77777777" w:rsidR="005B0D83" w:rsidRPr="005B0D83" w:rsidRDefault="005B0D83" w:rsidP="005B0D83">
            <w:pPr>
              <w:spacing w:after="0"/>
              <w:jc w:val="left"/>
              <w:rPr>
                <w:rFonts w:eastAsia="Calibri"/>
                <w:b/>
                <w:sz w:val="20"/>
                <w:szCs w:val="20"/>
              </w:rPr>
            </w:pPr>
            <w:r w:rsidRPr="005B0D83">
              <w:rPr>
                <w:rFonts w:eastAsia="Calibri"/>
                <w:b/>
                <w:sz w:val="20"/>
                <w:szCs w:val="20"/>
              </w:rPr>
              <w:t>SEPP Exempt and Complying Development Codes 2008</w:t>
            </w:r>
          </w:p>
        </w:tc>
        <w:tc>
          <w:tcPr>
            <w:tcW w:w="4253" w:type="dxa"/>
            <w:shd w:val="clear" w:color="auto" w:fill="auto"/>
          </w:tcPr>
          <w:p w14:paraId="2D6E1BB9" w14:textId="77777777" w:rsidR="005B0D83" w:rsidRPr="005B0D83" w:rsidRDefault="005B0D83" w:rsidP="005B0D83">
            <w:pPr>
              <w:spacing w:after="0"/>
              <w:rPr>
                <w:sz w:val="20"/>
                <w:szCs w:val="20"/>
              </w:rPr>
            </w:pPr>
            <w:r w:rsidRPr="005B0D83">
              <w:rPr>
                <w:sz w:val="20"/>
                <w:szCs w:val="20"/>
              </w:rPr>
              <w:t>The SEPP provides exempt and complying development codes that have State-wide application, identifying, in the General Exempt Development Code, types of development that are of minimal environmental impact that may be carried out without the need for development consent; and, in the General Housing Code, types of complying development that may be carried out in accordance with a complying development certificate.</w:t>
            </w:r>
          </w:p>
        </w:tc>
        <w:tc>
          <w:tcPr>
            <w:tcW w:w="3685" w:type="dxa"/>
            <w:shd w:val="clear" w:color="auto" w:fill="auto"/>
          </w:tcPr>
          <w:p w14:paraId="742A4412" w14:textId="5A71475D" w:rsidR="005B0D83" w:rsidRPr="005B0D83" w:rsidRDefault="005B0D83" w:rsidP="005B0D83">
            <w:pPr>
              <w:spacing w:after="0"/>
              <w:rPr>
                <w:sz w:val="20"/>
                <w:szCs w:val="20"/>
              </w:rPr>
            </w:pPr>
            <w:r w:rsidRPr="005B0D83">
              <w:rPr>
                <w:sz w:val="20"/>
                <w:szCs w:val="20"/>
                <w:lang w:eastAsia="en-AU"/>
              </w:rPr>
              <w:t>Nothing in this Planning Proposal impacts on the operation of this SEPP.</w:t>
            </w:r>
          </w:p>
        </w:tc>
      </w:tr>
      <w:tr w:rsidR="005B0D83" w:rsidRPr="005B0D83" w14:paraId="1F91A005" w14:textId="77777777" w:rsidTr="003B1F6D">
        <w:trPr>
          <w:trHeight w:val="283"/>
        </w:trPr>
        <w:tc>
          <w:tcPr>
            <w:tcW w:w="2405" w:type="dxa"/>
            <w:shd w:val="clear" w:color="auto" w:fill="auto"/>
          </w:tcPr>
          <w:p w14:paraId="6A6CF02E" w14:textId="77777777" w:rsidR="005B0D83" w:rsidRPr="005B0D83" w:rsidRDefault="005B0D83" w:rsidP="005B0D83">
            <w:pPr>
              <w:spacing w:after="0"/>
              <w:jc w:val="left"/>
              <w:rPr>
                <w:b/>
                <w:sz w:val="20"/>
                <w:szCs w:val="20"/>
              </w:rPr>
            </w:pPr>
            <w:r w:rsidRPr="005B0D83">
              <w:rPr>
                <w:b/>
                <w:sz w:val="20"/>
                <w:szCs w:val="20"/>
              </w:rPr>
              <w:t>SEPP Housing for Seniors or People with a Disability 2004</w:t>
            </w:r>
          </w:p>
        </w:tc>
        <w:tc>
          <w:tcPr>
            <w:tcW w:w="4253" w:type="dxa"/>
            <w:shd w:val="clear" w:color="auto" w:fill="auto"/>
          </w:tcPr>
          <w:p w14:paraId="7046F477" w14:textId="77777777" w:rsidR="005B0D83" w:rsidRPr="005B0D83" w:rsidRDefault="005B0D83" w:rsidP="005B0D83">
            <w:pPr>
              <w:spacing w:after="0"/>
              <w:rPr>
                <w:sz w:val="20"/>
                <w:szCs w:val="20"/>
              </w:rPr>
            </w:pPr>
            <w:r w:rsidRPr="005B0D83">
              <w:rPr>
                <w:sz w:val="20"/>
                <w:szCs w:val="20"/>
              </w:rPr>
              <w:t xml:space="preserve">The SEPP aims to encourage provision of housing for seniors, including residential care facilities.  The SEPP provides development standards. </w:t>
            </w:r>
          </w:p>
        </w:tc>
        <w:tc>
          <w:tcPr>
            <w:tcW w:w="3685" w:type="dxa"/>
            <w:shd w:val="clear" w:color="auto" w:fill="auto"/>
          </w:tcPr>
          <w:p w14:paraId="6D1D7EAD" w14:textId="0D33B73A" w:rsidR="005B0D83" w:rsidRPr="005B0D83" w:rsidRDefault="005B0D83" w:rsidP="005B0D83">
            <w:pPr>
              <w:spacing w:after="0"/>
              <w:rPr>
                <w:sz w:val="20"/>
                <w:szCs w:val="20"/>
              </w:rPr>
            </w:pPr>
            <w:r w:rsidRPr="005B0D83">
              <w:rPr>
                <w:sz w:val="20"/>
                <w:szCs w:val="20"/>
                <w:lang w:eastAsia="en-AU"/>
              </w:rPr>
              <w:t>Nothing in this Planning Proposal impacts on the operation of this SEPP.</w:t>
            </w:r>
          </w:p>
        </w:tc>
      </w:tr>
      <w:tr w:rsidR="005B0D83" w:rsidRPr="005B0D83" w14:paraId="152857CB" w14:textId="77777777" w:rsidTr="003B1F6D">
        <w:trPr>
          <w:trHeight w:val="283"/>
        </w:trPr>
        <w:tc>
          <w:tcPr>
            <w:tcW w:w="2405" w:type="dxa"/>
            <w:shd w:val="clear" w:color="auto" w:fill="auto"/>
          </w:tcPr>
          <w:p w14:paraId="30B4AC52" w14:textId="77777777" w:rsidR="005B0D83" w:rsidRPr="005B0D83" w:rsidRDefault="005B0D83" w:rsidP="005B0D83">
            <w:pPr>
              <w:spacing w:after="0"/>
              <w:jc w:val="left"/>
              <w:rPr>
                <w:b/>
                <w:sz w:val="20"/>
                <w:szCs w:val="20"/>
              </w:rPr>
            </w:pPr>
            <w:r w:rsidRPr="005B0D83">
              <w:rPr>
                <w:b/>
                <w:sz w:val="20"/>
                <w:szCs w:val="20"/>
              </w:rPr>
              <w:t>SEPP Infrastructure 2007</w:t>
            </w:r>
          </w:p>
        </w:tc>
        <w:tc>
          <w:tcPr>
            <w:tcW w:w="4253" w:type="dxa"/>
            <w:shd w:val="clear" w:color="auto" w:fill="auto"/>
          </w:tcPr>
          <w:p w14:paraId="1E438ABA" w14:textId="77777777" w:rsidR="005B0D83" w:rsidRPr="005B0D83" w:rsidRDefault="005B0D83" w:rsidP="005B0D83">
            <w:pPr>
              <w:spacing w:after="0"/>
              <w:rPr>
                <w:sz w:val="20"/>
                <w:szCs w:val="20"/>
                <w:lang w:eastAsia="en-AU"/>
              </w:rPr>
            </w:pPr>
            <w:r w:rsidRPr="005B0D83">
              <w:rPr>
                <w:sz w:val="20"/>
                <w:szCs w:val="20"/>
                <w:lang w:eastAsia="en-AU"/>
              </w:rPr>
              <w:t>The SEPP provides a consistent approach for infrastructure and the provision of services across NSW, and to support greater efficiency in the location of infrastructure and service facilities.</w:t>
            </w:r>
          </w:p>
        </w:tc>
        <w:tc>
          <w:tcPr>
            <w:tcW w:w="3685" w:type="dxa"/>
            <w:shd w:val="clear" w:color="auto" w:fill="auto"/>
          </w:tcPr>
          <w:p w14:paraId="202DB93F" w14:textId="36C7A940" w:rsidR="005B0D83" w:rsidRPr="005B0D83" w:rsidRDefault="005B0D83" w:rsidP="005B0D83">
            <w:pPr>
              <w:spacing w:after="0"/>
              <w:rPr>
                <w:sz w:val="20"/>
                <w:szCs w:val="20"/>
              </w:rPr>
            </w:pPr>
            <w:r w:rsidRPr="005B0D83">
              <w:rPr>
                <w:sz w:val="20"/>
                <w:szCs w:val="20"/>
                <w:lang w:eastAsia="en-AU"/>
              </w:rPr>
              <w:t>Nothing in this Planning Proposal impacts on the operation of this SEPP.</w:t>
            </w:r>
          </w:p>
        </w:tc>
      </w:tr>
      <w:tr w:rsidR="005B0D83" w:rsidRPr="005B0D83" w14:paraId="7D4DCAFA" w14:textId="77777777" w:rsidTr="003B1F6D">
        <w:trPr>
          <w:trHeight w:val="283"/>
        </w:trPr>
        <w:tc>
          <w:tcPr>
            <w:tcW w:w="2405" w:type="dxa"/>
            <w:shd w:val="clear" w:color="auto" w:fill="auto"/>
          </w:tcPr>
          <w:p w14:paraId="644AE98E" w14:textId="77777777" w:rsidR="005B0D83" w:rsidRDefault="005B0D83" w:rsidP="005B0D83">
            <w:pPr>
              <w:spacing w:after="0"/>
              <w:jc w:val="left"/>
              <w:rPr>
                <w:b/>
                <w:bCs/>
                <w:sz w:val="20"/>
                <w:szCs w:val="20"/>
                <w:lang w:eastAsia="en-AU"/>
              </w:rPr>
            </w:pPr>
            <w:r>
              <w:rPr>
                <w:b/>
                <w:bCs/>
                <w:sz w:val="20"/>
                <w:szCs w:val="20"/>
                <w:lang w:eastAsia="en-AU"/>
              </w:rPr>
              <w:t>SEPP (Koala Habitat</w:t>
            </w:r>
          </w:p>
          <w:p w14:paraId="193494D2" w14:textId="28EEDB68" w:rsidR="005B0D83" w:rsidRPr="005B0D83" w:rsidRDefault="005B0D83" w:rsidP="005B0D83">
            <w:pPr>
              <w:spacing w:after="0"/>
              <w:jc w:val="left"/>
              <w:rPr>
                <w:b/>
                <w:sz w:val="20"/>
                <w:szCs w:val="20"/>
              </w:rPr>
            </w:pPr>
            <w:r>
              <w:rPr>
                <w:b/>
                <w:bCs/>
                <w:sz w:val="20"/>
                <w:szCs w:val="20"/>
                <w:lang w:eastAsia="en-AU"/>
              </w:rPr>
              <w:t>Protection) 2019</w:t>
            </w:r>
          </w:p>
        </w:tc>
        <w:tc>
          <w:tcPr>
            <w:tcW w:w="4253" w:type="dxa"/>
            <w:shd w:val="clear" w:color="auto" w:fill="auto"/>
          </w:tcPr>
          <w:p w14:paraId="113E0BB7" w14:textId="4AF764B7" w:rsidR="005B0D83" w:rsidRPr="005B0D83" w:rsidRDefault="005B0D83" w:rsidP="005B0D83">
            <w:pPr>
              <w:spacing w:after="0"/>
              <w:rPr>
                <w:sz w:val="20"/>
                <w:szCs w:val="20"/>
              </w:rPr>
            </w:pPr>
            <w:r>
              <w:rPr>
                <w:sz w:val="20"/>
                <w:szCs w:val="20"/>
                <w:lang w:eastAsia="en-AU"/>
              </w:rPr>
              <w:t>This Policy aims to encourage the conservation and management of areas of natural vegetation that provide habitat for koalas to support a permanent free-living population over their present range and reverse the current trend of koala population decline.</w:t>
            </w:r>
          </w:p>
        </w:tc>
        <w:tc>
          <w:tcPr>
            <w:tcW w:w="3685" w:type="dxa"/>
            <w:shd w:val="clear" w:color="auto" w:fill="auto"/>
          </w:tcPr>
          <w:p w14:paraId="145433A4" w14:textId="208CE4A9" w:rsidR="005B0D83" w:rsidRPr="005B0D83" w:rsidRDefault="005B0D83" w:rsidP="002F1F93">
            <w:pPr>
              <w:spacing w:after="0"/>
              <w:rPr>
                <w:sz w:val="20"/>
                <w:szCs w:val="20"/>
              </w:rPr>
            </w:pPr>
            <w:r w:rsidRPr="005B0D83">
              <w:rPr>
                <w:sz w:val="20"/>
                <w:szCs w:val="20"/>
                <w:lang w:eastAsia="en-AU"/>
              </w:rPr>
              <w:t>Nothing in this Planning Proposal impacts on the operation of this SEPP.</w:t>
            </w:r>
          </w:p>
        </w:tc>
      </w:tr>
      <w:tr w:rsidR="008069C1" w:rsidRPr="005B0D83" w14:paraId="292803E0" w14:textId="77777777" w:rsidTr="003B1F6D">
        <w:trPr>
          <w:trHeight w:val="283"/>
        </w:trPr>
        <w:tc>
          <w:tcPr>
            <w:tcW w:w="2405" w:type="dxa"/>
            <w:shd w:val="clear" w:color="auto" w:fill="auto"/>
          </w:tcPr>
          <w:p w14:paraId="47BCB92C" w14:textId="77777777" w:rsidR="008069C1" w:rsidRPr="005B0D83" w:rsidRDefault="008069C1" w:rsidP="008069C1">
            <w:pPr>
              <w:spacing w:after="0"/>
              <w:jc w:val="left"/>
              <w:rPr>
                <w:b/>
                <w:sz w:val="20"/>
                <w:szCs w:val="20"/>
              </w:rPr>
            </w:pPr>
            <w:r w:rsidRPr="005B0D83">
              <w:rPr>
                <w:b/>
                <w:sz w:val="20"/>
                <w:szCs w:val="20"/>
              </w:rPr>
              <w:t>SEPP Mining, Petroleum Production and Extractive Industries 2007</w:t>
            </w:r>
          </w:p>
        </w:tc>
        <w:tc>
          <w:tcPr>
            <w:tcW w:w="4253" w:type="dxa"/>
            <w:shd w:val="clear" w:color="auto" w:fill="auto"/>
          </w:tcPr>
          <w:p w14:paraId="2E18B031" w14:textId="77777777" w:rsidR="008069C1" w:rsidRPr="005B0D83" w:rsidRDefault="008069C1" w:rsidP="008069C1">
            <w:pPr>
              <w:spacing w:after="0"/>
              <w:rPr>
                <w:sz w:val="20"/>
                <w:szCs w:val="20"/>
              </w:rPr>
            </w:pPr>
            <w:r w:rsidRPr="005B0D83">
              <w:rPr>
                <w:sz w:val="20"/>
                <w:szCs w:val="20"/>
              </w:rPr>
              <w:t>The SEPP aims to provide proper management of mineral, petroleum and extractive material resources and ESD.</w:t>
            </w:r>
          </w:p>
        </w:tc>
        <w:tc>
          <w:tcPr>
            <w:tcW w:w="3685" w:type="dxa"/>
            <w:shd w:val="clear" w:color="auto" w:fill="auto"/>
          </w:tcPr>
          <w:p w14:paraId="042C0E2A" w14:textId="41F7FD00" w:rsidR="008069C1" w:rsidRPr="005B0D83" w:rsidRDefault="008069C1" w:rsidP="008069C1">
            <w:pPr>
              <w:spacing w:after="0"/>
              <w:rPr>
                <w:sz w:val="20"/>
                <w:szCs w:val="20"/>
              </w:rPr>
            </w:pPr>
            <w:r w:rsidRPr="005B0D83">
              <w:rPr>
                <w:sz w:val="20"/>
                <w:szCs w:val="20"/>
                <w:lang w:eastAsia="en-AU"/>
              </w:rPr>
              <w:t>Nothing in this Planning Proposal impacts on the operation of this SEPP.</w:t>
            </w:r>
          </w:p>
        </w:tc>
      </w:tr>
      <w:tr w:rsidR="008069C1" w:rsidRPr="005B0D83" w14:paraId="3B619DB8" w14:textId="77777777" w:rsidTr="003B1F6D">
        <w:trPr>
          <w:trHeight w:val="283"/>
        </w:trPr>
        <w:tc>
          <w:tcPr>
            <w:tcW w:w="2405" w:type="dxa"/>
            <w:shd w:val="clear" w:color="auto" w:fill="auto"/>
          </w:tcPr>
          <w:p w14:paraId="7F297F10" w14:textId="77777777" w:rsidR="008069C1" w:rsidRPr="005B0D83" w:rsidRDefault="008069C1" w:rsidP="008069C1">
            <w:pPr>
              <w:spacing w:after="0"/>
              <w:jc w:val="left"/>
              <w:rPr>
                <w:b/>
                <w:sz w:val="20"/>
                <w:szCs w:val="20"/>
              </w:rPr>
            </w:pPr>
            <w:r w:rsidRPr="005B0D83">
              <w:rPr>
                <w:b/>
                <w:sz w:val="20"/>
                <w:szCs w:val="20"/>
              </w:rPr>
              <w:t>SEPP Miscellaneous Consent Provisions 2007</w:t>
            </w:r>
          </w:p>
        </w:tc>
        <w:tc>
          <w:tcPr>
            <w:tcW w:w="4253" w:type="dxa"/>
            <w:shd w:val="clear" w:color="auto" w:fill="auto"/>
          </w:tcPr>
          <w:p w14:paraId="75FC8F15" w14:textId="77777777" w:rsidR="008069C1" w:rsidRPr="005B0D83" w:rsidRDefault="008069C1" w:rsidP="008069C1">
            <w:pPr>
              <w:spacing w:after="0"/>
              <w:rPr>
                <w:sz w:val="20"/>
                <w:szCs w:val="20"/>
              </w:rPr>
            </w:pPr>
            <w:r w:rsidRPr="005B0D83">
              <w:rPr>
                <w:sz w:val="20"/>
                <w:szCs w:val="20"/>
              </w:rPr>
              <w:t>The aims of this Policy are as follows:</w:t>
            </w:r>
          </w:p>
          <w:p w14:paraId="750A05A6" w14:textId="77777777" w:rsidR="008069C1" w:rsidRPr="005B0D83" w:rsidRDefault="008069C1" w:rsidP="008069C1">
            <w:pPr>
              <w:pStyle w:val="Default"/>
              <w:ind w:left="317" w:hanging="284"/>
              <w:rPr>
                <w:sz w:val="20"/>
                <w:szCs w:val="20"/>
              </w:rPr>
            </w:pPr>
            <w:r w:rsidRPr="005B0D83">
              <w:rPr>
                <w:sz w:val="20"/>
                <w:szCs w:val="20"/>
              </w:rPr>
              <w:t>(a) to provide that the erection of temporary structures is permissible with consent across the State,</w:t>
            </w:r>
          </w:p>
          <w:p w14:paraId="1C87963C" w14:textId="77777777" w:rsidR="008069C1" w:rsidRPr="005B0D83" w:rsidRDefault="008069C1" w:rsidP="008069C1">
            <w:pPr>
              <w:pStyle w:val="Default"/>
              <w:ind w:left="317" w:hanging="284"/>
              <w:rPr>
                <w:sz w:val="20"/>
                <w:szCs w:val="20"/>
              </w:rPr>
            </w:pPr>
            <w:r w:rsidRPr="005B0D83">
              <w:rPr>
                <w:sz w:val="20"/>
                <w:szCs w:val="20"/>
              </w:rPr>
              <w:t>(b) to ensure that suitable provision is made for ensuring the safety of persons using temporary structures,</w:t>
            </w:r>
          </w:p>
          <w:p w14:paraId="189B490D" w14:textId="77777777" w:rsidR="008069C1" w:rsidRPr="005B0D83" w:rsidRDefault="008069C1" w:rsidP="008069C1">
            <w:pPr>
              <w:pStyle w:val="Default"/>
              <w:ind w:left="317" w:hanging="284"/>
              <w:rPr>
                <w:sz w:val="20"/>
                <w:szCs w:val="20"/>
              </w:rPr>
            </w:pPr>
            <w:r w:rsidRPr="005B0D83">
              <w:rPr>
                <w:sz w:val="20"/>
                <w:szCs w:val="20"/>
              </w:rPr>
              <w:t>(c) to encourage the protection of the environment at the location, and in the vicinity, of temporary structures by specifying relevant matters for consideration,</w:t>
            </w:r>
          </w:p>
          <w:p w14:paraId="184E359E" w14:textId="77777777" w:rsidR="008069C1" w:rsidRPr="005B0D83" w:rsidRDefault="008069C1" w:rsidP="008069C1">
            <w:pPr>
              <w:pStyle w:val="Default"/>
              <w:ind w:left="317" w:hanging="284"/>
              <w:rPr>
                <w:sz w:val="20"/>
                <w:szCs w:val="20"/>
              </w:rPr>
            </w:pPr>
            <w:r w:rsidRPr="005B0D83">
              <w:rPr>
                <w:sz w:val="20"/>
                <w:szCs w:val="20"/>
              </w:rPr>
              <w:lastRenderedPageBreak/>
              <w:t>(d) to provide that development comprising the subdivision of land, the erection of a building or the demolition of a building, to the extent to which it does not already require development consent under another environmental planning instrument, cannot be carried out except with development consent.</w:t>
            </w:r>
          </w:p>
        </w:tc>
        <w:tc>
          <w:tcPr>
            <w:tcW w:w="3685" w:type="dxa"/>
            <w:shd w:val="clear" w:color="auto" w:fill="auto"/>
          </w:tcPr>
          <w:p w14:paraId="0B6BA33A" w14:textId="7C4492F8" w:rsidR="008069C1" w:rsidRPr="005B0D83" w:rsidRDefault="008069C1" w:rsidP="008069C1">
            <w:pPr>
              <w:spacing w:after="0"/>
              <w:rPr>
                <w:sz w:val="20"/>
                <w:szCs w:val="20"/>
              </w:rPr>
            </w:pPr>
            <w:r w:rsidRPr="005B0D83">
              <w:rPr>
                <w:sz w:val="20"/>
                <w:szCs w:val="20"/>
                <w:lang w:eastAsia="en-AU"/>
              </w:rPr>
              <w:lastRenderedPageBreak/>
              <w:t>Nothing in this Planning Proposal impacts on the operation of this SEPP.</w:t>
            </w:r>
          </w:p>
        </w:tc>
      </w:tr>
      <w:tr w:rsidR="008069C1" w:rsidRPr="005B0D83" w14:paraId="7CE1830F" w14:textId="77777777" w:rsidTr="003B1F6D">
        <w:trPr>
          <w:trHeight w:val="283"/>
        </w:trPr>
        <w:tc>
          <w:tcPr>
            <w:tcW w:w="2405" w:type="dxa"/>
            <w:shd w:val="clear" w:color="auto" w:fill="auto"/>
          </w:tcPr>
          <w:p w14:paraId="2AEC77C8" w14:textId="77777777" w:rsidR="008069C1" w:rsidRPr="005B0D83" w:rsidRDefault="008069C1" w:rsidP="008069C1">
            <w:pPr>
              <w:spacing w:after="0"/>
              <w:jc w:val="left"/>
              <w:rPr>
                <w:b/>
                <w:sz w:val="20"/>
                <w:szCs w:val="20"/>
              </w:rPr>
            </w:pPr>
            <w:r w:rsidRPr="005B0D83">
              <w:rPr>
                <w:b/>
                <w:sz w:val="20"/>
                <w:szCs w:val="20"/>
              </w:rPr>
              <w:t>SEPP (Primary Production and Rural Land) 2019</w:t>
            </w:r>
          </w:p>
        </w:tc>
        <w:tc>
          <w:tcPr>
            <w:tcW w:w="4253" w:type="dxa"/>
            <w:shd w:val="clear" w:color="auto" w:fill="auto"/>
          </w:tcPr>
          <w:p w14:paraId="4CBC08A0" w14:textId="77777777" w:rsidR="008069C1" w:rsidRPr="005B0D83" w:rsidRDefault="008069C1" w:rsidP="008069C1">
            <w:pPr>
              <w:spacing w:after="0"/>
              <w:rPr>
                <w:sz w:val="20"/>
                <w:szCs w:val="20"/>
              </w:rPr>
            </w:pPr>
            <w:r w:rsidRPr="005B0D83">
              <w:rPr>
                <w:sz w:val="20"/>
                <w:szCs w:val="20"/>
              </w:rPr>
              <w:t>The aims of this Policy are as follows:</w:t>
            </w:r>
          </w:p>
          <w:p w14:paraId="64A3BB36" w14:textId="77777777" w:rsidR="008069C1" w:rsidRPr="005B0D83" w:rsidRDefault="008069C1" w:rsidP="008069C1">
            <w:pPr>
              <w:pStyle w:val="Default"/>
              <w:ind w:left="317" w:hanging="284"/>
              <w:rPr>
                <w:sz w:val="20"/>
                <w:szCs w:val="20"/>
              </w:rPr>
            </w:pPr>
            <w:r w:rsidRPr="005B0D83">
              <w:rPr>
                <w:sz w:val="20"/>
                <w:szCs w:val="20"/>
              </w:rPr>
              <w:t>(a)  to facilitate the orderly economic use and development of lands for primary production,</w:t>
            </w:r>
          </w:p>
          <w:p w14:paraId="785205B1" w14:textId="77777777" w:rsidR="008069C1" w:rsidRPr="005B0D83" w:rsidRDefault="008069C1" w:rsidP="008069C1">
            <w:pPr>
              <w:pStyle w:val="Default"/>
              <w:ind w:left="317" w:hanging="284"/>
              <w:rPr>
                <w:sz w:val="20"/>
                <w:szCs w:val="20"/>
              </w:rPr>
            </w:pPr>
            <w:r w:rsidRPr="005B0D83">
              <w:rPr>
                <w:sz w:val="20"/>
                <w:szCs w:val="20"/>
              </w:rPr>
              <w:t>(b)  to reduce land use conflict and sterilisation of rural land by balancing primary production, residential development and the protection of native vegetation, biodiversity and water resources,</w:t>
            </w:r>
          </w:p>
          <w:p w14:paraId="7DB159E6" w14:textId="77777777" w:rsidR="008069C1" w:rsidRPr="005B0D83" w:rsidRDefault="008069C1" w:rsidP="008069C1">
            <w:pPr>
              <w:pStyle w:val="Default"/>
              <w:ind w:left="317" w:hanging="284"/>
              <w:rPr>
                <w:sz w:val="20"/>
                <w:szCs w:val="20"/>
              </w:rPr>
            </w:pPr>
            <w:r w:rsidRPr="005B0D83">
              <w:rPr>
                <w:sz w:val="20"/>
                <w:szCs w:val="20"/>
              </w:rPr>
              <w:t>(c)  to identify State significant agricultural land for the purpose of ensuring the ongoing viability of agriculture on that land, having regard to social, economic and environmental considerations,</w:t>
            </w:r>
          </w:p>
          <w:p w14:paraId="17D2BD79" w14:textId="77777777" w:rsidR="008069C1" w:rsidRPr="005B0D83" w:rsidRDefault="008069C1" w:rsidP="008069C1">
            <w:pPr>
              <w:pStyle w:val="Default"/>
              <w:ind w:left="317" w:hanging="284"/>
              <w:rPr>
                <w:sz w:val="20"/>
                <w:szCs w:val="20"/>
              </w:rPr>
            </w:pPr>
            <w:r w:rsidRPr="005B0D83">
              <w:rPr>
                <w:sz w:val="20"/>
                <w:szCs w:val="20"/>
              </w:rPr>
              <w:t>(d)  to simplify the regulatory process for smaller-scale low risk artificial waterbodies, and routine maintenance of artificial water supply or drainage, in irrigation areas and districts, and for routine and emergency work in irrigation areas and districts,</w:t>
            </w:r>
          </w:p>
          <w:p w14:paraId="0ABB9A9C" w14:textId="77777777" w:rsidR="008069C1" w:rsidRPr="005B0D83" w:rsidRDefault="008069C1" w:rsidP="008069C1">
            <w:pPr>
              <w:pStyle w:val="Default"/>
              <w:ind w:left="317" w:hanging="284"/>
              <w:rPr>
                <w:sz w:val="20"/>
                <w:szCs w:val="20"/>
              </w:rPr>
            </w:pPr>
            <w:r w:rsidRPr="005B0D83">
              <w:rPr>
                <w:sz w:val="20"/>
                <w:szCs w:val="20"/>
              </w:rPr>
              <w:t>(e)  to encourage sustainable agriculture, including sustainable aquaculture,</w:t>
            </w:r>
          </w:p>
          <w:p w14:paraId="5A27095E" w14:textId="77777777" w:rsidR="008069C1" w:rsidRPr="005B0D83" w:rsidRDefault="008069C1" w:rsidP="008069C1">
            <w:pPr>
              <w:pStyle w:val="Default"/>
              <w:ind w:left="317" w:hanging="284"/>
              <w:rPr>
                <w:sz w:val="20"/>
                <w:szCs w:val="20"/>
              </w:rPr>
            </w:pPr>
            <w:r w:rsidRPr="005B0D83">
              <w:rPr>
                <w:sz w:val="20"/>
                <w:szCs w:val="20"/>
              </w:rPr>
              <w:t>(f)  to require consideration of the effects of all proposed development in the State on oyster aquaculture,</w:t>
            </w:r>
          </w:p>
          <w:p w14:paraId="269F4BEB" w14:textId="77777777" w:rsidR="008069C1" w:rsidRPr="005B0D83" w:rsidRDefault="008069C1" w:rsidP="008069C1">
            <w:pPr>
              <w:pStyle w:val="Default"/>
              <w:ind w:left="317" w:hanging="284"/>
              <w:rPr>
                <w:sz w:val="20"/>
                <w:szCs w:val="20"/>
              </w:rPr>
            </w:pPr>
            <w:r w:rsidRPr="005B0D83">
              <w:rPr>
                <w:sz w:val="20"/>
                <w:szCs w:val="20"/>
              </w:rPr>
              <w:t>(g)  to identify aquaculture that is to be treated as designated development using a well-defined and concise development assessment regime based on environment risks associated with site and operational factors.</w:t>
            </w:r>
          </w:p>
        </w:tc>
        <w:tc>
          <w:tcPr>
            <w:tcW w:w="3685" w:type="dxa"/>
            <w:shd w:val="clear" w:color="auto" w:fill="auto"/>
          </w:tcPr>
          <w:p w14:paraId="48303802" w14:textId="62F353B2" w:rsidR="008069C1" w:rsidRPr="005B0D83" w:rsidRDefault="008069C1" w:rsidP="008069C1">
            <w:pPr>
              <w:spacing w:after="0"/>
              <w:jc w:val="left"/>
              <w:rPr>
                <w:sz w:val="20"/>
                <w:szCs w:val="20"/>
                <w:lang w:eastAsia="en-AU"/>
              </w:rPr>
            </w:pPr>
            <w:r w:rsidRPr="005B0D83">
              <w:rPr>
                <w:sz w:val="20"/>
                <w:szCs w:val="20"/>
                <w:lang w:eastAsia="en-AU"/>
              </w:rPr>
              <w:t>Nothing in this Planning Proposal impacts on the operation of this SEPP.</w:t>
            </w:r>
          </w:p>
        </w:tc>
      </w:tr>
      <w:tr w:rsidR="008069C1" w:rsidRPr="005B0D83" w14:paraId="6B3B27F1" w14:textId="77777777" w:rsidTr="003B1F6D">
        <w:trPr>
          <w:trHeight w:val="283"/>
        </w:trPr>
        <w:tc>
          <w:tcPr>
            <w:tcW w:w="2405" w:type="dxa"/>
            <w:shd w:val="clear" w:color="auto" w:fill="auto"/>
          </w:tcPr>
          <w:p w14:paraId="726DCA96" w14:textId="77777777" w:rsidR="008069C1" w:rsidRPr="005B0D83" w:rsidRDefault="008069C1" w:rsidP="008069C1">
            <w:pPr>
              <w:spacing w:after="0"/>
              <w:jc w:val="left"/>
              <w:rPr>
                <w:b/>
                <w:sz w:val="20"/>
                <w:szCs w:val="20"/>
              </w:rPr>
            </w:pPr>
            <w:r w:rsidRPr="005B0D83">
              <w:rPr>
                <w:b/>
                <w:sz w:val="20"/>
                <w:szCs w:val="20"/>
              </w:rPr>
              <w:t>SEPP State and Regional Development 2011</w:t>
            </w:r>
          </w:p>
        </w:tc>
        <w:tc>
          <w:tcPr>
            <w:tcW w:w="4253" w:type="dxa"/>
            <w:shd w:val="clear" w:color="auto" w:fill="auto"/>
          </w:tcPr>
          <w:p w14:paraId="7901CB4F" w14:textId="77777777" w:rsidR="008069C1" w:rsidRPr="005B0D83" w:rsidRDefault="008069C1" w:rsidP="008069C1">
            <w:pPr>
              <w:spacing w:after="0"/>
              <w:rPr>
                <w:sz w:val="20"/>
                <w:szCs w:val="20"/>
              </w:rPr>
            </w:pPr>
            <w:r w:rsidRPr="005B0D83">
              <w:rPr>
                <w:sz w:val="20"/>
                <w:szCs w:val="20"/>
              </w:rPr>
              <w:t xml:space="preserve">The SEPP aims to identify development and infrastructure that is State significant and confer functions on the </w:t>
            </w:r>
            <w:r w:rsidRPr="005B0D83">
              <w:rPr>
                <w:sz w:val="20"/>
                <w:szCs w:val="20"/>
                <w:lang w:eastAsia="en-AU"/>
              </w:rPr>
              <w:t>Joint Regional Planning Panels (JRPPs) to determine development applications.</w:t>
            </w:r>
          </w:p>
        </w:tc>
        <w:tc>
          <w:tcPr>
            <w:tcW w:w="3685" w:type="dxa"/>
            <w:shd w:val="clear" w:color="auto" w:fill="auto"/>
          </w:tcPr>
          <w:p w14:paraId="54E1886A" w14:textId="59C82D85" w:rsidR="008069C1" w:rsidRPr="005B0D83" w:rsidRDefault="008069C1" w:rsidP="008069C1">
            <w:pPr>
              <w:spacing w:after="0"/>
              <w:rPr>
                <w:sz w:val="20"/>
                <w:szCs w:val="20"/>
              </w:rPr>
            </w:pPr>
            <w:r w:rsidRPr="005B0D83">
              <w:rPr>
                <w:sz w:val="20"/>
                <w:szCs w:val="20"/>
                <w:lang w:eastAsia="en-AU"/>
              </w:rPr>
              <w:t>Nothing in this Planning Proposal impacts on the operation of this SEPP.the operation of this SEPP.</w:t>
            </w:r>
          </w:p>
        </w:tc>
      </w:tr>
      <w:tr w:rsidR="008069C1" w:rsidRPr="005B0D83" w14:paraId="36702EE0" w14:textId="77777777" w:rsidTr="003B1F6D">
        <w:trPr>
          <w:trHeight w:val="1063"/>
        </w:trPr>
        <w:tc>
          <w:tcPr>
            <w:tcW w:w="2405" w:type="dxa"/>
            <w:shd w:val="clear" w:color="auto" w:fill="auto"/>
          </w:tcPr>
          <w:p w14:paraId="577835CC" w14:textId="77777777" w:rsidR="008069C1" w:rsidRPr="005B0D83" w:rsidRDefault="008069C1" w:rsidP="008069C1">
            <w:pPr>
              <w:spacing w:after="0"/>
              <w:jc w:val="left"/>
              <w:rPr>
                <w:b/>
                <w:sz w:val="20"/>
                <w:szCs w:val="20"/>
              </w:rPr>
            </w:pPr>
            <w:r w:rsidRPr="005B0D83">
              <w:rPr>
                <w:b/>
                <w:sz w:val="20"/>
                <w:szCs w:val="20"/>
              </w:rPr>
              <w:t>SEPP (State Significant Precincts) 2005</w:t>
            </w:r>
          </w:p>
        </w:tc>
        <w:tc>
          <w:tcPr>
            <w:tcW w:w="4253" w:type="dxa"/>
            <w:shd w:val="clear" w:color="auto" w:fill="auto"/>
          </w:tcPr>
          <w:p w14:paraId="39B4A6A8" w14:textId="77777777" w:rsidR="008069C1" w:rsidRPr="005B0D83" w:rsidRDefault="008069C1" w:rsidP="008069C1">
            <w:pPr>
              <w:spacing w:after="0"/>
              <w:rPr>
                <w:sz w:val="20"/>
                <w:szCs w:val="20"/>
              </w:rPr>
            </w:pPr>
            <w:r w:rsidRPr="005B0D83">
              <w:rPr>
                <w:sz w:val="20"/>
                <w:szCs w:val="20"/>
              </w:rPr>
              <w:t>The aims of this Policy are as follows:</w:t>
            </w:r>
          </w:p>
          <w:p w14:paraId="626A42D0" w14:textId="77777777" w:rsidR="008069C1" w:rsidRPr="005B0D83" w:rsidRDefault="008069C1" w:rsidP="008069C1">
            <w:pPr>
              <w:pStyle w:val="Default"/>
              <w:ind w:left="317" w:hanging="284"/>
              <w:rPr>
                <w:sz w:val="20"/>
                <w:szCs w:val="20"/>
              </w:rPr>
            </w:pPr>
            <w:r w:rsidRPr="005B0D83">
              <w:rPr>
                <w:sz w:val="20"/>
                <w:szCs w:val="20"/>
              </w:rPr>
              <w:t>(a), (b)    (Repealed)</w:t>
            </w:r>
          </w:p>
          <w:p w14:paraId="2191FFDA" w14:textId="77777777" w:rsidR="008069C1" w:rsidRPr="005B0D83" w:rsidRDefault="008069C1" w:rsidP="008069C1">
            <w:pPr>
              <w:pStyle w:val="Default"/>
              <w:ind w:left="317" w:hanging="284"/>
              <w:rPr>
                <w:sz w:val="20"/>
                <w:szCs w:val="20"/>
              </w:rPr>
            </w:pPr>
            <w:r w:rsidRPr="005B0D83">
              <w:rPr>
                <w:sz w:val="20"/>
                <w:szCs w:val="20"/>
              </w:rPr>
              <w:t>(c)  to facilitate the development, redevelopment or protection of important urban, coastal and regional sites of economic, environmental or social significance to the State so as to facilitate the orderly use, development or conservation of those State significant precincts for the benefit of the State,</w:t>
            </w:r>
          </w:p>
          <w:p w14:paraId="79112350" w14:textId="77777777" w:rsidR="008069C1" w:rsidRPr="005B0D83" w:rsidRDefault="008069C1" w:rsidP="008069C1">
            <w:pPr>
              <w:pStyle w:val="Default"/>
              <w:ind w:left="317" w:hanging="284"/>
              <w:rPr>
                <w:sz w:val="20"/>
                <w:szCs w:val="20"/>
              </w:rPr>
            </w:pPr>
            <w:r w:rsidRPr="005B0D83">
              <w:rPr>
                <w:sz w:val="20"/>
                <w:szCs w:val="20"/>
              </w:rPr>
              <w:t>(d)  to facilitate service delivery outcomes for a range of public services and to provide for the development of major sites for a public purpose or redevelopment of major sites no longer appropriate or suitable for public purposes.</w:t>
            </w:r>
          </w:p>
          <w:p w14:paraId="21849B17" w14:textId="77777777" w:rsidR="008069C1" w:rsidRPr="005B0D83" w:rsidRDefault="008069C1" w:rsidP="008069C1">
            <w:pPr>
              <w:pStyle w:val="Default"/>
              <w:ind w:left="317" w:hanging="284"/>
              <w:rPr>
                <w:sz w:val="20"/>
                <w:szCs w:val="20"/>
              </w:rPr>
            </w:pPr>
            <w:r w:rsidRPr="005B0D83">
              <w:rPr>
                <w:sz w:val="20"/>
                <w:szCs w:val="20"/>
              </w:rPr>
              <w:t>(e), (f)    (Repealed)</w:t>
            </w:r>
          </w:p>
        </w:tc>
        <w:tc>
          <w:tcPr>
            <w:tcW w:w="3685" w:type="dxa"/>
            <w:shd w:val="clear" w:color="auto" w:fill="auto"/>
          </w:tcPr>
          <w:p w14:paraId="773E91E6" w14:textId="4B88EC27" w:rsidR="008069C1" w:rsidRPr="005B0D83" w:rsidRDefault="008069C1" w:rsidP="008069C1">
            <w:pPr>
              <w:spacing w:after="0"/>
              <w:jc w:val="left"/>
              <w:rPr>
                <w:sz w:val="20"/>
                <w:szCs w:val="20"/>
                <w:lang w:eastAsia="en-AU"/>
              </w:rPr>
            </w:pPr>
            <w:r w:rsidRPr="005B0D83">
              <w:rPr>
                <w:sz w:val="20"/>
                <w:szCs w:val="20"/>
                <w:lang w:eastAsia="en-AU"/>
              </w:rPr>
              <w:t>Nothing in this Planning Proposal impacts on the operation of this SEPP.</w:t>
            </w:r>
          </w:p>
        </w:tc>
      </w:tr>
    </w:tbl>
    <w:p w14:paraId="551FDC31" w14:textId="52C63BE5" w:rsidR="005B0D83" w:rsidRDefault="005B0D83">
      <w:pPr>
        <w:autoSpaceDE/>
        <w:autoSpaceDN/>
        <w:adjustRightInd/>
        <w:spacing w:after="0"/>
        <w:jc w:val="left"/>
      </w:pPr>
    </w:p>
    <w:p w14:paraId="3CEA3A2D" w14:textId="36CA9F86" w:rsidR="000C459D" w:rsidRPr="001903C3" w:rsidRDefault="00631815" w:rsidP="009206F2">
      <w:pPr>
        <w:pStyle w:val="Heading3"/>
        <w:spacing w:before="0"/>
      </w:pPr>
      <w:bookmarkStart w:id="20" w:name="_Toc80259528"/>
      <w:r>
        <w:t xml:space="preserve">Consistency with Section </w:t>
      </w:r>
      <w:r w:rsidR="00FB49AA">
        <w:t>9.1</w:t>
      </w:r>
      <w:r w:rsidR="000C459D" w:rsidRPr="001903C3">
        <w:t xml:space="preserve"> Ministerial Directions for Local Plan Making</w:t>
      </w:r>
      <w:bookmarkEnd w:id="20"/>
    </w:p>
    <w:p w14:paraId="00C6A28C" w14:textId="77777777" w:rsidR="00FD01BA" w:rsidRDefault="00631815" w:rsidP="00FD01BA">
      <w:pPr>
        <w:rPr>
          <w:lang w:eastAsia="en-AU"/>
        </w:rPr>
      </w:pPr>
      <w:r>
        <w:rPr>
          <w:lang w:eastAsia="en-AU"/>
        </w:rPr>
        <w:t xml:space="preserve">An assessment of relevant Section </w:t>
      </w:r>
      <w:r w:rsidR="00FB49AA">
        <w:rPr>
          <w:lang w:eastAsia="en-AU"/>
        </w:rPr>
        <w:t>9.1</w:t>
      </w:r>
      <w:r w:rsidR="000C459D" w:rsidRPr="003D4D11">
        <w:rPr>
          <w:lang w:eastAsia="en-AU"/>
        </w:rPr>
        <w:t xml:space="preserve"> Directions against the planning proposal is provided in the table below.</w:t>
      </w:r>
      <w:bookmarkStart w:id="21" w:name="_Toc301167290"/>
      <w:bookmarkStart w:id="22" w:name="_Toc418240882"/>
    </w:p>
    <w:p w14:paraId="5F56924D" w14:textId="23FA8FA3" w:rsidR="000C459D" w:rsidRPr="003941A5" w:rsidRDefault="00FD01BA" w:rsidP="00150DED">
      <w:pPr>
        <w:pStyle w:val="Caption"/>
        <w:rPr>
          <w:sz w:val="22"/>
        </w:rPr>
      </w:pPr>
      <w:bookmarkStart w:id="23" w:name="_Toc80259541"/>
      <w:r w:rsidRPr="003941A5">
        <w:rPr>
          <w:sz w:val="22"/>
        </w:rPr>
        <w:t xml:space="preserve">Table </w:t>
      </w:r>
      <w:r w:rsidR="00C71A91" w:rsidRPr="003941A5">
        <w:rPr>
          <w:noProof/>
          <w:sz w:val="22"/>
        </w:rPr>
        <w:fldChar w:fldCharType="begin"/>
      </w:r>
      <w:r w:rsidR="00C71A91" w:rsidRPr="003941A5">
        <w:rPr>
          <w:noProof/>
          <w:sz w:val="22"/>
        </w:rPr>
        <w:instrText xml:space="preserve"> SEQ Table \* ARABIC </w:instrText>
      </w:r>
      <w:r w:rsidR="00C71A91" w:rsidRPr="003941A5">
        <w:rPr>
          <w:noProof/>
          <w:sz w:val="22"/>
        </w:rPr>
        <w:fldChar w:fldCharType="separate"/>
      </w:r>
      <w:r w:rsidR="003D791F">
        <w:rPr>
          <w:noProof/>
          <w:sz w:val="22"/>
        </w:rPr>
        <w:t>3</w:t>
      </w:r>
      <w:r w:rsidR="00C71A91" w:rsidRPr="003941A5">
        <w:rPr>
          <w:noProof/>
          <w:sz w:val="22"/>
        </w:rPr>
        <w:fldChar w:fldCharType="end"/>
      </w:r>
      <w:r w:rsidR="000C459D" w:rsidRPr="003941A5">
        <w:rPr>
          <w:sz w:val="22"/>
        </w:rPr>
        <w:t>:</w:t>
      </w:r>
      <w:r w:rsidR="00A056D1" w:rsidRPr="003941A5">
        <w:rPr>
          <w:sz w:val="22"/>
        </w:rPr>
        <w:t xml:space="preserve">  </w:t>
      </w:r>
      <w:r w:rsidR="00631815" w:rsidRPr="003941A5">
        <w:rPr>
          <w:sz w:val="22"/>
        </w:rPr>
        <w:t xml:space="preserve">Relevant Section </w:t>
      </w:r>
      <w:r w:rsidR="00FB49AA" w:rsidRPr="003941A5">
        <w:rPr>
          <w:sz w:val="22"/>
        </w:rPr>
        <w:t>9.1</w:t>
      </w:r>
      <w:r w:rsidR="000C459D" w:rsidRPr="003941A5">
        <w:rPr>
          <w:sz w:val="22"/>
        </w:rPr>
        <w:t xml:space="preserve"> Ministerial Directions</w:t>
      </w:r>
      <w:bookmarkEnd w:id="21"/>
      <w:bookmarkEnd w:id="22"/>
      <w:bookmarkEnd w:id="23"/>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4253"/>
        <w:gridCol w:w="3543"/>
      </w:tblGrid>
      <w:tr w:rsidR="000C459D" w:rsidRPr="006F538A" w14:paraId="66396441" w14:textId="77777777" w:rsidTr="003B1F6D">
        <w:trPr>
          <w:trHeight w:val="283"/>
          <w:tblHeader/>
        </w:trPr>
        <w:tc>
          <w:tcPr>
            <w:tcW w:w="2405" w:type="dxa"/>
            <w:tcBorders>
              <w:bottom w:val="single" w:sz="4" w:space="0" w:color="auto"/>
            </w:tcBorders>
            <w:shd w:val="clear" w:color="auto" w:fill="A6A6A6" w:themeFill="background1" w:themeFillShade="A6"/>
            <w:vAlign w:val="center"/>
          </w:tcPr>
          <w:p w14:paraId="17376BB8" w14:textId="77777777" w:rsidR="000C459D" w:rsidRPr="006F538A" w:rsidRDefault="000C459D" w:rsidP="006F538A">
            <w:pPr>
              <w:spacing w:after="0"/>
              <w:jc w:val="left"/>
              <w:rPr>
                <w:rStyle w:val="Strong"/>
              </w:rPr>
            </w:pPr>
            <w:r w:rsidRPr="006F538A">
              <w:rPr>
                <w:rStyle w:val="Strong"/>
              </w:rPr>
              <w:t>Ministerial Direction</w:t>
            </w:r>
          </w:p>
        </w:tc>
        <w:tc>
          <w:tcPr>
            <w:tcW w:w="4253" w:type="dxa"/>
            <w:tcBorders>
              <w:bottom w:val="single" w:sz="4" w:space="0" w:color="auto"/>
            </w:tcBorders>
            <w:shd w:val="clear" w:color="auto" w:fill="A6A6A6" w:themeFill="background1" w:themeFillShade="A6"/>
            <w:vAlign w:val="center"/>
          </w:tcPr>
          <w:p w14:paraId="442C2552" w14:textId="77777777" w:rsidR="000C459D" w:rsidRPr="006F538A" w:rsidRDefault="00351BD8" w:rsidP="006F538A">
            <w:pPr>
              <w:spacing w:after="0"/>
              <w:jc w:val="left"/>
              <w:rPr>
                <w:rStyle w:val="Strong"/>
              </w:rPr>
            </w:pPr>
            <w:r w:rsidRPr="006F538A">
              <w:rPr>
                <w:rStyle w:val="Strong"/>
              </w:rPr>
              <w:t>Objective</w:t>
            </w:r>
            <w:r w:rsidR="000C459D" w:rsidRPr="006F538A">
              <w:rPr>
                <w:rStyle w:val="Strong"/>
              </w:rPr>
              <w:t xml:space="preserve"> of Direction</w:t>
            </w:r>
          </w:p>
        </w:tc>
        <w:tc>
          <w:tcPr>
            <w:tcW w:w="3543" w:type="dxa"/>
            <w:tcBorders>
              <w:bottom w:val="single" w:sz="4" w:space="0" w:color="auto"/>
            </w:tcBorders>
            <w:shd w:val="clear" w:color="auto" w:fill="A6A6A6" w:themeFill="background1" w:themeFillShade="A6"/>
            <w:vAlign w:val="center"/>
          </w:tcPr>
          <w:p w14:paraId="6CA08C75" w14:textId="77777777" w:rsidR="000C459D" w:rsidRPr="006F538A" w:rsidRDefault="000C459D" w:rsidP="006F538A">
            <w:pPr>
              <w:spacing w:after="0"/>
              <w:jc w:val="left"/>
              <w:rPr>
                <w:rStyle w:val="Strong"/>
              </w:rPr>
            </w:pPr>
            <w:r w:rsidRPr="006F538A">
              <w:rPr>
                <w:rStyle w:val="Strong"/>
              </w:rPr>
              <w:t>Consistency and Implication</w:t>
            </w:r>
          </w:p>
        </w:tc>
      </w:tr>
      <w:tr w:rsidR="000C459D" w:rsidRPr="006F538A" w14:paraId="0EA5A484" w14:textId="77777777" w:rsidTr="003941A5">
        <w:trPr>
          <w:trHeight w:val="283"/>
        </w:trPr>
        <w:tc>
          <w:tcPr>
            <w:tcW w:w="10201" w:type="dxa"/>
            <w:gridSpan w:val="3"/>
            <w:shd w:val="clear" w:color="auto" w:fill="A6A6A6" w:themeFill="background1" w:themeFillShade="A6"/>
            <w:vAlign w:val="center"/>
          </w:tcPr>
          <w:p w14:paraId="42C80647" w14:textId="77777777" w:rsidR="000C459D" w:rsidRPr="006F538A" w:rsidRDefault="00E25F25" w:rsidP="004E63EF">
            <w:pPr>
              <w:pStyle w:val="ListParagraph"/>
              <w:numPr>
                <w:ilvl w:val="0"/>
                <w:numId w:val="6"/>
              </w:numPr>
              <w:spacing w:after="0"/>
              <w:ind w:left="567" w:hanging="567"/>
              <w:jc w:val="left"/>
            </w:pPr>
            <w:r w:rsidRPr="006F538A">
              <w:t>Employment and Resources</w:t>
            </w:r>
          </w:p>
        </w:tc>
      </w:tr>
      <w:tr w:rsidR="000C459D" w:rsidRPr="006F538A" w14:paraId="32860CE3" w14:textId="77777777" w:rsidTr="003B1F6D">
        <w:trPr>
          <w:trHeight w:val="283"/>
        </w:trPr>
        <w:tc>
          <w:tcPr>
            <w:tcW w:w="2405" w:type="dxa"/>
            <w:shd w:val="clear" w:color="auto" w:fill="auto"/>
          </w:tcPr>
          <w:p w14:paraId="03A523D0" w14:textId="77777777" w:rsidR="00150DED" w:rsidRPr="006F538A" w:rsidRDefault="00150DED" w:rsidP="004E63EF">
            <w:pPr>
              <w:pStyle w:val="ListParagraph"/>
              <w:numPr>
                <w:ilvl w:val="1"/>
                <w:numId w:val="3"/>
              </w:numPr>
              <w:tabs>
                <w:tab w:val="num" w:pos="567"/>
              </w:tabs>
              <w:spacing w:after="0"/>
              <w:ind w:left="567" w:hanging="567"/>
              <w:jc w:val="left"/>
            </w:pPr>
            <w:r w:rsidRPr="006F538A">
              <w:t>Business and Industrial Zones</w:t>
            </w:r>
          </w:p>
          <w:p w14:paraId="715B9D74" w14:textId="77777777" w:rsidR="000C459D" w:rsidRPr="006F538A" w:rsidRDefault="000C459D" w:rsidP="006F538A">
            <w:pPr>
              <w:tabs>
                <w:tab w:val="num" w:pos="567"/>
              </w:tabs>
              <w:spacing w:after="0"/>
              <w:jc w:val="left"/>
            </w:pPr>
          </w:p>
        </w:tc>
        <w:tc>
          <w:tcPr>
            <w:tcW w:w="4253" w:type="dxa"/>
            <w:shd w:val="clear" w:color="auto" w:fill="auto"/>
          </w:tcPr>
          <w:p w14:paraId="62B46280" w14:textId="77777777" w:rsidR="00E25F25" w:rsidRPr="006F538A" w:rsidRDefault="00E25F25" w:rsidP="006F538A">
            <w:pPr>
              <w:spacing w:after="0"/>
              <w:jc w:val="left"/>
            </w:pPr>
            <w:r w:rsidRPr="006F538A">
              <w:t>T</w:t>
            </w:r>
            <w:r w:rsidR="006F538A" w:rsidRPr="006F538A">
              <w:t xml:space="preserve">he objectives of this direction </w:t>
            </w:r>
            <w:r w:rsidRPr="006F538A">
              <w:t xml:space="preserve">are to: </w:t>
            </w:r>
          </w:p>
          <w:p w14:paraId="3D33AFFA" w14:textId="77777777" w:rsidR="00E25F25" w:rsidRPr="006F538A" w:rsidRDefault="00E25F25" w:rsidP="006F538A">
            <w:pPr>
              <w:pStyle w:val="Default"/>
              <w:ind w:left="317" w:hanging="284"/>
              <w:rPr>
                <w:sz w:val="22"/>
                <w:szCs w:val="22"/>
              </w:rPr>
            </w:pPr>
            <w:r w:rsidRPr="006F538A">
              <w:rPr>
                <w:sz w:val="22"/>
                <w:szCs w:val="22"/>
              </w:rPr>
              <w:t xml:space="preserve">(a) encourage employment growth in suitable locations, </w:t>
            </w:r>
          </w:p>
          <w:p w14:paraId="02F2DDBE" w14:textId="77777777" w:rsidR="00E25F25" w:rsidRPr="006F538A" w:rsidRDefault="00E25F25" w:rsidP="006F538A">
            <w:pPr>
              <w:pStyle w:val="Default"/>
              <w:ind w:left="317" w:hanging="284"/>
              <w:rPr>
                <w:sz w:val="22"/>
                <w:szCs w:val="22"/>
              </w:rPr>
            </w:pPr>
            <w:r w:rsidRPr="006F538A">
              <w:rPr>
                <w:sz w:val="22"/>
                <w:szCs w:val="22"/>
              </w:rPr>
              <w:t xml:space="preserve">(b) protect employment land in business and industrial zones, and </w:t>
            </w:r>
          </w:p>
          <w:p w14:paraId="3A318649" w14:textId="77777777" w:rsidR="000C459D" w:rsidRPr="006F538A" w:rsidRDefault="00E25F25" w:rsidP="006F538A">
            <w:pPr>
              <w:pStyle w:val="Default"/>
              <w:ind w:left="317" w:hanging="284"/>
              <w:rPr>
                <w:sz w:val="22"/>
                <w:szCs w:val="22"/>
              </w:rPr>
            </w:pPr>
            <w:r w:rsidRPr="006F538A">
              <w:rPr>
                <w:sz w:val="22"/>
                <w:szCs w:val="22"/>
              </w:rPr>
              <w:t>(c) support the viability of identified strategic centres.</w:t>
            </w:r>
          </w:p>
        </w:tc>
        <w:tc>
          <w:tcPr>
            <w:tcW w:w="3543" w:type="dxa"/>
            <w:shd w:val="clear" w:color="auto" w:fill="auto"/>
          </w:tcPr>
          <w:p w14:paraId="18F96435" w14:textId="77777777" w:rsidR="000C459D" w:rsidRPr="006F538A" w:rsidRDefault="00B018F9" w:rsidP="006F538A">
            <w:pPr>
              <w:spacing w:after="0"/>
              <w:jc w:val="left"/>
            </w:pPr>
            <w:r>
              <w:rPr>
                <w:sz w:val="20"/>
                <w:szCs w:val="20"/>
              </w:rPr>
              <w:t>N/A</w:t>
            </w:r>
          </w:p>
        </w:tc>
      </w:tr>
      <w:tr w:rsidR="000C459D" w:rsidRPr="006F538A" w14:paraId="239ADBF6" w14:textId="77777777" w:rsidTr="003B1F6D">
        <w:trPr>
          <w:trHeight w:val="283"/>
        </w:trPr>
        <w:tc>
          <w:tcPr>
            <w:tcW w:w="2405" w:type="dxa"/>
            <w:shd w:val="clear" w:color="auto" w:fill="auto"/>
          </w:tcPr>
          <w:p w14:paraId="5BA92CD1" w14:textId="77777777" w:rsidR="00E25F25" w:rsidRPr="006F538A" w:rsidRDefault="00E25F25" w:rsidP="004E63EF">
            <w:pPr>
              <w:pStyle w:val="ListParagraph"/>
              <w:numPr>
                <w:ilvl w:val="1"/>
                <w:numId w:val="3"/>
              </w:numPr>
              <w:tabs>
                <w:tab w:val="num" w:pos="567"/>
              </w:tabs>
              <w:spacing w:after="0"/>
              <w:ind w:left="567" w:hanging="567"/>
              <w:jc w:val="left"/>
            </w:pPr>
            <w:r w:rsidRPr="006F538A">
              <w:t>Rural Zones</w:t>
            </w:r>
          </w:p>
          <w:p w14:paraId="04292B4A" w14:textId="77777777" w:rsidR="000C459D" w:rsidRPr="006F538A" w:rsidRDefault="000C459D" w:rsidP="006F538A">
            <w:pPr>
              <w:tabs>
                <w:tab w:val="num" w:pos="567"/>
              </w:tabs>
              <w:spacing w:after="0"/>
              <w:jc w:val="left"/>
            </w:pPr>
          </w:p>
        </w:tc>
        <w:tc>
          <w:tcPr>
            <w:tcW w:w="4253" w:type="dxa"/>
            <w:shd w:val="clear" w:color="auto" w:fill="auto"/>
          </w:tcPr>
          <w:p w14:paraId="3A6E75CC" w14:textId="77777777" w:rsidR="000C459D" w:rsidRPr="006F538A" w:rsidRDefault="00E25F25" w:rsidP="006F538A">
            <w:pPr>
              <w:spacing w:after="0"/>
            </w:pPr>
            <w:r w:rsidRPr="006F538A">
              <w:t>The objective of this direction is to protect the agricultural production value of rural land.</w:t>
            </w:r>
          </w:p>
        </w:tc>
        <w:tc>
          <w:tcPr>
            <w:tcW w:w="3543" w:type="dxa"/>
            <w:shd w:val="clear" w:color="auto" w:fill="auto"/>
          </w:tcPr>
          <w:p w14:paraId="3AA9EAA0" w14:textId="77777777" w:rsidR="000C459D" w:rsidRPr="006F538A" w:rsidRDefault="00B018F9" w:rsidP="006F538A">
            <w:pPr>
              <w:spacing w:after="0"/>
              <w:jc w:val="left"/>
            </w:pPr>
            <w:r>
              <w:rPr>
                <w:sz w:val="20"/>
                <w:szCs w:val="20"/>
              </w:rPr>
              <w:t>N/A</w:t>
            </w:r>
          </w:p>
        </w:tc>
      </w:tr>
      <w:tr w:rsidR="000C459D" w:rsidRPr="006F538A" w14:paraId="679C89AB" w14:textId="77777777" w:rsidTr="003B1F6D">
        <w:trPr>
          <w:trHeight w:val="283"/>
        </w:trPr>
        <w:tc>
          <w:tcPr>
            <w:tcW w:w="2405" w:type="dxa"/>
            <w:shd w:val="clear" w:color="auto" w:fill="auto"/>
          </w:tcPr>
          <w:p w14:paraId="06A7FE10" w14:textId="2ABCC57C" w:rsidR="000C459D" w:rsidRPr="006F538A" w:rsidRDefault="00E25F25" w:rsidP="006F538A">
            <w:pPr>
              <w:pStyle w:val="ListParagraph"/>
              <w:numPr>
                <w:ilvl w:val="1"/>
                <w:numId w:val="3"/>
              </w:numPr>
              <w:tabs>
                <w:tab w:val="num" w:pos="567"/>
              </w:tabs>
              <w:spacing w:after="0"/>
              <w:ind w:left="567" w:hanging="567"/>
              <w:jc w:val="left"/>
            </w:pPr>
            <w:r w:rsidRPr="006F538A">
              <w:t>Mining, Petroleum Production and Extractive Industries</w:t>
            </w:r>
          </w:p>
        </w:tc>
        <w:tc>
          <w:tcPr>
            <w:tcW w:w="4253" w:type="dxa"/>
            <w:shd w:val="clear" w:color="auto" w:fill="auto"/>
          </w:tcPr>
          <w:p w14:paraId="75CA71A5" w14:textId="77777777" w:rsidR="000C459D" w:rsidRPr="006F538A" w:rsidRDefault="00E25F25" w:rsidP="006F538A">
            <w:pPr>
              <w:spacing w:after="0"/>
            </w:pPr>
            <w:r w:rsidRPr="006F538A">
              <w:t xml:space="preserve">The objective of this direction is to ensure that the future extraction of State or regionally significant reserves coal, other minerals, petroleum and extractive materials are not compromised by inappropriate development.  </w:t>
            </w:r>
          </w:p>
        </w:tc>
        <w:tc>
          <w:tcPr>
            <w:tcW w:w="3543" w:type="dxa"/>
            <w:shd w:val="clear" w:color="auto" w:fill="auto"/>
          </w:tcPr>
          <w:p w14:paraId="4DAC5743" w14:textId="6A2E5E51" w:rsidR="000B3C90" w:rsidRPr="006F538A" w:rsidRDefault="008069C1" w:rsidP="00D83C8B">
            <w:pPr>
              <w:spacing w:after="0"/>
              <w:jc w:val="left"/>
            </w:pPr>
            <w:r>
              <w:rPr>
                <w:lang w:eastAsia="en-AU"/>
              </w:rPr>
              <w:t>N/A</w:t>
            </w:r>
          </w:p>
        </w:tc>
      </w:tr>
      <w:tr w:rsidR="00CB3CBB" w:rsidRPr="006F538A" w14:paraId="7EFC3990" w14:textId="77777777" w:rsidTr="003B1F6D">
        <w:trPr>
          <w:trHeight w:val="283"/>
        </w:trPr>
        <w:tc>
          <w:tcPr>
            <w:tcW w:w="2405" w:type="dxa"/>
            <w:tcBorders>
              <w:bottom w:val="single" w:sz="4" w:space="0" w:color="auto"/>
            </w:tcBorders>
            <w:shd w:val="clear" w:color="auto" w:fill="auto"/>
          </w:tcPr>
          <w:p w14:paraId="7B5A4746" w14:textId="77777777" w:rsidR="00CB3CBB" w:rsidRPr="006F538A" w:rsidRDefault="00E25F25" w:rsidP="004E63EF">
            <w:pPr>
              <w:pStyle w:val="ListParagraph"/>
              <w:numPr>
                <w:ilvl w:val="1"/>
                <w:numId w:val="10"/>
              </w:numPr>
              <w:spacing w:after="0"/>
              <w:ind w:left="567" w:hanging="567"/>
              <w:jc w:val="left"/>
            </w:pPr>
            <w:r w:rsidRPr="006F538A">
              <w:t>Rural Lands</w:t>
            </w:r>
          </w:p>
        </w:tc>
        <w:tc>
          <w:tcPr>
            <w:tcW w:w="4253" w:type="dxa"/>
            <w:tcBorders>
              <w:bottom w:val="single" w:sz="4" w:space="0" w:color="auto"/>
            </w:tcBorders>
            <w:shd w:val="clear" w:color="auto" w:fill="auto"/>
          </w:tcPr>
          <w:p w14:paraId="516D46AF" w14:textId="77777777" w:rsidR="00E25F25" w:rsidRPr="006F538A" w:rsidRDefault="00E25F25" w:rsidP="006F538A">
            <w:pPr>
              <w:spacing w:after="0"/>
              <w:jc w:val="left"/>
            </w:pPr>
            <w:r w:rsidRPr="006F538A">
              <w:t>The objectives of this direction are to:</w:t>
            </w:r>
          </w:p>
          <w:p w14:paraId="683D83F5" w14:textId="77777777" w:rsidR="00E25F25" w:rsidRPr="006F538A" w:rsidRDefault="00E25F25" w:rsidP="006F538A">
            <w:pPr>
              <w:pStyle w:val="Default"/>
              <w:ind w:left="317" w:hanging="284"/>
              <w:rPr>
                <w:sz w:val="22"/>
                <w:szCs w:val="22"/>
              </w:rPr>
            </w:pPr>
            <w:r w:rsidRPr="006F538A">
              <w:rPr>
                <w:sz w:val="22"/>
                <w:szCs w:val="22"/>
              </w:rPr>
              <w:t>(a) protect the agricultural production value of rural land,</w:t>
            </w:r>
          </w:p>
          <w:p w14:paraId="1AFC4CC9" w14:textId="77777777" w:rsidR="00CB3CBB" w:rsidRPr="006F538A" w:rsidRDefault="00E25F25" w:rsidP="006F538A">
            <w:pPr>
              <w:pStyle w:val="Default"/>
              <w:ind w:left="317" w:hanging="284"/>
              <w:rPr>
                <w:sz w:val="22"/>
                <w:szCs w:val="22"/>
              </w:rPr>
            </w:pPr>
            <w:r w:rsidRPr="006F538A">
              <w:rPr>
                <w:sz w:val="22"/>
                <w:szCs w:val="22"/>
              </w:rPr>
              <w:t>(b) facilitate the orderly and economic development of rural lands for rural and related purposes.</w:t>
            </w:r>
          </w:p>
        </w:tc>
        <w:tc>
          <w:tcPr>
            <w:tcW w:w="3543" w:type="dxa"/>
            <w:tcBorders>
              <w:bottom w:val="single" w:sz="4" w:space="0" w:color="auto"/>
            </w:tcBorders>
            <w:shd w:val="clear" w:color="auto" w:fill="auto"/>
          </w:tcPr>
          <w:p w14:paraId="5C1A7B62" w14:textId="77777777" w:rsidR="00CB3CBB" w:rsidRPr="006F538A" w:rsidRDefault="00B018F9" w:rsidP="006F538A">
            <w:pPr>
              <w:spacing w:after="0"/>
              <w:jc w:val="left"/>
            </w:pPr>
            <w:r>
              <w:rPr>
                <w:sz w:val="20"/>
                <w:szCs w:val="20"/>
              </w:rPr>
              <w:t>N/A</w:t>
            </w:r>
          </w:p>
        </w:tc>
      </w:tr>
      <w:tr w:rsidR="00CB3CBB" w:rsidRPr="006F538A" w14:paraId="06F77F09" w14:textId="77777777" w:rsidTr="003941A5">
        <w:trPr>
          <w:trHeight w:val="283"/>
        </w:trPr>
        <w:tc>
          <w:tcPr>
            <w:tcW w:w="10201" w:type="dxa"/>
            <w:gridSpan w:val="3"/>
            <w:shd w:val="clear" w:color="auto" w:fill="A6A6A6" w:themeFill="background1" w:themeFillShade="A6"/>
            <w:vAlign w:val="center"/>
          </w:tcPr>
          <w:p w14:paraId="2D3936C9" w14:textId="77777777" w:rsidR="00CB3CBB" w:rsidRPr="006F538A" w:rsidRDefault="006F538A" w:rsidP="004E63EF">
            <w:pPr>
              <w:pStyle w:val="ListParagraph"/>
              <w:numPr>
                <w:ilvl w:val="0"/>
                <w:numId w:val="6"/>
              </w:numPr>
              <w:spacing w:after="0"/>
              <w:ind w:left="567" w:hanging="567"/>
              <w:jc w:val="left"/>
            </w:pPr>
            <w:r>
              <w:t xml:space="preserve">The objective of this direction is to discourage unnecessarily restrictive site specific planning controls. </w:t>
            </w:r>
            <w:r w:rsidR="00E25F25" w:rsidRPr="006F538A">
              <w:t>Environment and Heritage</w:t>
            </w:r>
          </w:p>
        </w:tc>
      </w:tr>
      <w:tr w:rsidR="00CB3CBB" w:rsidRPr="006F538A" w14:paraId="1BDD751E" w14:textId="77777777" w:rsidTr="003B1F6D">
        <w:trPr>
          <w:trHeight w:val="283"/>
        </w:trPr>
        <w:tc>
          <w:tcPr>
            <w:tcW w:w="2405" w:type="dxa"/>
            <w:shd w:val="clear" w:color="auto" w:fill="auto"/>
          </w:tcPr>
          <w:p w14:paraId="5FD130B8" w14:textId="77777777" w:rsidR="00CB3CBB" w:rsidRPr="006F538A" w:rsidRDefault="00E25F25" w:rsidP="004E63EF">
            <w:pPr>
              <w:pStyle w:val="ListParagraph"/>
              <w:numPr>
                <w:ilvl w:val="1"/>
                <w:numId w:val="7"/>
              </w:numPr>
              <w:spacing w:after="0"/>
              <w:ind w:left="567" w:hanging="567"/>
              <w:jc w:val="left"/>
            </w:pPr>
            <w:r w:rsidRPr="006F538A">
              <w:t>Environmental Protection Zones</w:t>
            </w:r>
          </w:p>
        </w:tc>
        <w:tc>
          <w:tcPr>
            <w:tcW w:w="4253" w:type="dxa"/>
            <w:shd w:val="clear" w:color="auto" w:fill="auto"/>
          </w:tcPr>
          <w:p w14:paraId="7746E260" w14:textId="77777777" w:rsidR="00CB3CBB" w:rsidRPr="006F538A" w:rsidRDefault="00E25F25" w:rsidP="006F538A">
            <w:pPr>
              <w:spacing w:after="0"/>
            </w:pPr>
            <w:r w:rsidRPr="006F538A">
              <w:t>The objective of this direction is to protect and conserve environmentally sensitive areas.</w:t>
            </w:r>
          </w:p>
        </w:tc>
        <w:tc>
          <w:tcPr>
            <w:tcW w:w="3543" w:type="dxa"/>
            <w:shd w:val="clear" w:color="auto" w:fill="auto"/>
          </w:tcPr>
          <w:p w14:paraId="75676D6A" w14:textId="77777777" w:rsidR="00CB3CBB" w:rsidRPr="006F538A" w:rsidRDefault="00B018F9" w:rsidP="006F538A">
            <w:pPr>
              <w:spacing w:after="0"/>
              <w:jc w:val="left"/>
            </w:pPr>
            <w:r>
              <w:rPr>
                <w:sz w:val="20"/>
                <w:szCs w:val="20"/>
              </w:rPr>
              <w:t>N/A</w:t>
            </w:r>
          </w:p>
        </w:tc>
      </w:tr>
      <w:tr w:rsidR="00E25F25" w:rsidRPr="006F538A" w14:paraId="1AAED004" w14:textId="77777777" w:rsidTr="003B1F6D">
        <w:trPr>
          <w:trHeight w:val="283"/>
        </w:trPr>
        <w:tc>
          <w:tcPr>
            <w:tcW w:w="2405" w:type="dxa"/>
            <w:shd w:val="clear" w:color="auto" w:fill="auto"/>
          </w:tcPr>
          <w:p w14:paraId="19E2D23F" w14:textId="77777777" w:rsidR="00E25F25" w:rsidRPr="006F538A" w:rsidRDefault="00E25F25" w:rsidP="004E63EF">
            <w:pPr>
              <w:pStyle w:val="ListParagraph"/>
              <w:numPr>
                <w:ilvl w:val="1"/>
                <w:numId w:val="7"/>
              </w:numPr>
              <w:spacing w:after="0"/>
              <w:ind w:left="567" w:hanging="567"/>
              <w:jc w:val="left"/>
            </w:pPr>
            <w:r w:rsidRPr="006F538A">
              <w:t xml:space="preserve">Coastal Protection </w:t>
            </w:r>
          </w:p>
        </w:tc>
        <w:tc>
          <w:tcPr>
            <w:tcW w:w="4253" w:type="dxa"/>
            <w:shd w:val="clear" w:color="auto" w:fill="auto"/>
          </w:tcPr>
          <w:p w14:paraId="2DA88644" w14:textId="77777777" w:rsidR="00E25F25" w:rsidRPr="006F538A" w:rsidRDefault="00E25F25" w:rsidP="006F538A">
            <w:pPr>
              <w:spacing w:after="0"/>
            </w:pPr>
            <w:r w:rsidRPr="006F538A">
              <w:t>The objective of this direction is to protect and manage coastal areas of NSW.</w:t>
            </w:r>
          </w:p>
        </w:tc>
        <w:tc>
          <w:tcPr>
            <w:tcW w:w="3543" w:type="dxa"/>
            <w:shd w:val="clear" w:color="auto" w:fill="auto"/>
          </w:tcPr>
          <w:p w14:paraId="3533AE34" w14:textId="77777777" w:rsidR="00E25F25" w:rsidRPr="00594D22" w:rsidRDefault="00B018F9" w:rsidP="00B018F9">
            <w:pPr>
              <w:spacing w:after="0"/>
              <w:jc w:val="left"/>
            </w:pPr>
            <w:r w:rsidRPr="00594D22">
              <w:t>Not applicable to LGA</w:t>
            </w:r>
          </w:p>
        </w:tc>
      </w:tr>
      <w:tr w:rsidR="00E25F25" w:rsidRPr="006F538A" w14:paraId="4C1DD099" w14:textId="77777777" w:rsidTr="003B1F6D">
        <w:trPr>
          <w:trHeight w:val="283"/>
        </w:trPr>
        <w:tc>
          <w:tcPr>
            <w:tcW w:w="2405" w:type="dxa"/>
            <w:shd w:val="clear" w:color="auto" w:fill="auto"/>
          </w:tcPr>
          <w:p w14:paraId="3F6EFC19" w14:textId="77777777" w:rsidR="00E25F25" w:rsidRPr="006F538A" w:rsidRDefault="00E25F25" w:rsidP="004E63EF">
            <w:pPr>
              <w:pStyle w:val="ListParagraph"/>
              <w:numPr>
                <w:ilvl w:val="1"/>
                <w:numId w:val="7"/>
              </w:numPr>
              <w:spacing w:after="0"/>
              <w:ind w:left="567" w:hanging="567"/>
              <w:jc w:val="left"/>
            </w:pPr>
            <w:r w:rsidRPr="006F538A">
              <w:t>Heritage Conservation</w:t>
            </w:r>
          </w:p>
        </w:tc>
        <w:tc>
          <w:tcPr>
            <w:tcW w:w="4253" w:type="dxa"/>
            <w:shd w:val="clear" w:color="auto" w:fill="auto"/>
          </w:tcPr>
          <w:p w14:paraId="1FCA3256" w14:textId="77777777" w:rsidR="00E25F25" w:rsidRPr="006F538A" w:rsidRDefault="00E25F25" w:rsidP="006F538A">
            <w:pPr>
              <w:spacing w:after="0"/>
            </w:pPr>
            <w:r w:rsidRPr="006F538A">
              <w:t>The objective of this direction is to conserve items, areas, objects and places of environmental heritage significance and indigenous heritage significance.</w:t>
            </w:r>
          </w:p>
        </w:tc>
        <w:tc>
          <w:tcPr>
            <w:tcW w:w="3543" w:type="dxa"/>
            <w:shd w:val="clear" w:color="auto" w:fill="auto"/>
          </w:tcPr>
          <w:p w14:paraId="2AF9CC42" w14:textId="09FBFD53" w:rsidR="00E25F25" w:rsidRPr="00B44883" w:rsidRDefault="0030024E" w:rsidP="00C511BA">
            <w:pPr>
              <w:spacing w:after="0"/>
              <w:jc w:val="left"/>
            </w:pPr>
            <w:r w:rsidRPr="00B44883">
              <w:t>Lots 5 and part</w:t>
            </w:r>
            <w:r w:rsidR="00C511BA">
              <w:t xml:space="preserve"> lot</w:t>
            </w:r>
            <w:r w:rsidRPr="00B44883">
              <w:t xml:space="preserve"> 7 DP 1140055 are adjacent to heritage items of Court House and </w:t>
            </w:r>
            <w:r w:rsidR="00C511BA">
              <w:t>P</w:t>
            </w:r>
            <w:r w:rsidRPr="00B44883">
              <w:t xml:space="preserve">olice </w:t>
            </w:r>
            <w:r w:rsidR="00C511BA">
              <w:t>S</w:t>
            </w:r>
            <w:r w:rsidRPr="00B44883">
              <w:t>tation and Fire Station at Kurri Kurri.</w:t>
            </w:r>
            <w:r w:rsidR="001E5B5A" w:rsidRPr="00B44883">
              <w:t xml:space="preserve"> It is considered that any impact can be considered at development stage and that the value of the heritage items will be protected. The Planning Proposal will not hinder the achievement of the objectives of this direction. </w:t>
            </w:r>
          </w:p>
        </w:tc>
      </w:tr>
      <w:tr w:rsidR="00E25F25" w:rsidRPr="006F538A" w14:paraId="52AEBEF0" w14:textId="77777777" w:rsidTr="003B1F6D">
        <w:trPr>
          <w:trHeight w:val="283"/>
        </w:trPr>
        <w:tc>
          <w:tcPr>
            <w:tcW w:w="2405" w:type="dxa"/>
            <w:shd w:val="clear" w:color="auto" w:fill="auto"/>
          </w:tcPr>
          <w:p w14:paraId="2ED86882" w14:textId="77777777" w:rsidR="00E25F25" w:rsidRPr="006F538A" w:rsidRDefault="00E25F25" w:rsidP="004E63EF">
            <w:pPr>
              <w:pStyle w:val="ListParagraph"/>
              <w:numPr>
                <w:ilvl w:val="1"/>
                <w:numId w:val="7"/>
              </w:numPr>
              <w:spacing w:after="0"/>
              <w:ind w:left="567" w:hanging="567"/>
              <w:jc w:val="left"/>
            </w:pPr>
            <w:r w:rsidRPr="006F538A">
              <w:t>Recreation Vehicle Areas</w:t>
            </w:r>
          </w:p>
        </w:tc>
        <w:tc>
          <w:tcPr>
            <w:tcW w:w="4253" w:type="dxa"/>
            <w:shd w:val="clear" w:color="auto" w:fill="auto"/>
          </w:tcPr>
          <w:p w14:paraId="3F2DFE6C" w14:textId="77777777" w:rsidR="00E25F25" w:rsidRPr="006F538A" w:rsidRDefault="00E25F25" w:rsidP="006F538A">
            <w:pPr>
              <w:spacing w:after="0"/>
            </w:pPr>
            <w:r w:rsidRPr="006F538A">
              <w:t>The objective of this direction is to protect sensitive land or land with significant conservation values from adverse impacts from recreation vehicles.</w:t>
            </w:r>
          </w:p>
        </w:tc>
        <w:tc>
          <w:tcPr>
            <w:tcW w:w="3543" w:type="dxa"/>
            <w:shd w:val="clear" w:color="auto" w:fill="auto"/>
          </w:tcPr>
          <w:p w14:paraId="62863BBD" w14:textId="77777777" w:rsidR="00E25F25" w:rsidRPr="006F538A" w:rsidRDefault="00B018F9" w:rsidP="006F538A">
            <w:pPr>
              <w:spacing w:after="0"/>
              <w:jc w:val="left"/>
            </w:pPr>
            <w:r>
              <w:rPr>
                <w:sz w:val="20"/>
                <w:szCs w:val="20"/>
              </w:rPr>
              <w:t>N/A</w:t>
            </w:r>
          </w:p>
        </w:tc>
      </w:tr>
      <w:tr w:rsidR="00CB3CBB" w:rsidRPr="006F538A" w14:paraId="6E53CAA8" w14:textId="77777777" w:rsidTr="003941A5">
        <w:trPr>
          <w:trHeight w:val="283"/>
        </w:trPr>
        <w:tc>
          <w:tcPr>
            <w:tcW w:w="10201" w:type="dxa"/>
            <w:gridSpan w:val="3"/>
            <w:shd w:val="clear" w:color="auto" w:fill="A6A6A6" w:themeFill="background1" w:themeFillShade="A6"/>
            <w:vAlign w:val="center"/>
          </w:tcPr>
          <w:p w14:paraId="14DFF201" w14:textId="77777777" w:rsidR="00CB3CBB" w:rsidRPr="006F538A" w:rsidRDefault="00E25F25" w:rsidP="004E63EF">
            <w:pPr>
              <w:pStyle w:val="ListParagraph"/>
              <w:numPr>
                <w:ilvl w:val="0"/>
                <w:numId w:val="7"/>
              </w:numPr>
              <w:spacing w:after="0"/>
              <w:ind w:left="567" w:hanging="567"/>
              <w:jc w:val="left"/>
            </w:pPr>
            <w:r w:rsidRPr="006F538A">
              <w:t xml:space="preserve">Housing, Infrastructure and Urban Development </w:t>
            </w:r>
          </w:p>
        </w:tc>
      </w:tr>
      <w:tr w:rsidR="00E25F25" w:rsidRPr="006F538A" w14:paraId="11B75208" w14:textId="77777777" w:rsidTr="003B1F6D">
        <w:trPr>
          <w:trHeight w:val="283"/>
        </w:trPr>
        <w:tc>
          <w:tcPr>
            <w:tcW w:w="2405" w:type="dxa"/>
            <w:shd w:val="clear" w:color="auto" w:fill="auto"/>
          </w:tcPr>
          <w:p w14:paraId="1F927503" w14:textId="77777777" w:rsidR="00E25F25" w:rsidRPr="006F538A" w:rsidRDefault="00E25F25" w:rsidP="004E63EF">
            <w:pPr>
              <w:pStyle w:val="ListParagraph"/>
              <w:numPr>
                <w:ilvl w:val="1"/>
                <w:numId w:val="7"/>
              </w:numPr>
              <w:spacing w:after="0"/>
              <w:ind w:left="567" w:hanging="567"/>
              <w:jc w:val="left"/>
            </w:pPr>
            <w:r w:rsidRPr="006F538A">
              <w:t>Re</w:t>
            </w:r>
            <w:r w:rsidR="00FB49AA" w:rsidRPr="006F538A">
              <w:t>sidential Zones</w:t>
            </w:r>
          </w:p>
        </w:tc>
        <w:tc>
          <w:tcPr>
            <w:tcW w:w="4253" w:type="dxa"/>
            <w:shd w:val="clear" w:color="auto" w:fill="auto"/>
          </w:tcPr>
          <w:p w14:paraId="509FAFCF" w14:textId="77777777" w:rsidR="00FB49AA" w:rsidRPr="006F538A" w:rsidRDefault="00FB49AA" w:rsidP="006F538A">
            <w:pPr>
              <w:spacing w:after="0"/>
              <w:jc w:val="left"/>
            </w:pPr>
            <w:r w:rsidRPr="006F538A">
              <w:t>The objectives of this direction are:</w:t>
            </w:r>
          </w:p>
          <w:p w14:paraId="19286920" w14:textId="77777777" w:rsidR="006F538A" w:rsidRPr="006F538A" w:rsidRDefault="00FB49AA" w:rsidP="006F538A">
            <w:pPr>
              <w:pStyle w:val="Default"/>
              <w:ind w:left="317" w:hanging="284"/>
              <w:rPr>
                <w:sz w:val="22"/>
                <w:szCs w:val="22"/>
              </w:rPr>
            </w:pPr>
            <w:r w:rsidRPr="006F538A">
              <w:rPr>
                <w:sz w:val="22"/>
                <w:szCs w:val="22"/>
              </w:rPr>
              <w:t>(a) to encourage a variety and choice of housing types to provide for exi</w:t>
            </w:r>
            <w:r w:rsidR="006F538A" w:rsidRPr="006F538A">
              <w:rPr>
                <w:sz w:val="22"/>
                <w:szCs w:val="22"/>
              </w:rPr>
              <w:t>sting and future housing needs,</w:t>
            </w:r>
          </w:p>
          <w:p w14:paraId="3E55AAB2" w14:textId="77777777" w:rsidR="006F538A" w:rsidRPr="006F538A" w:rsidRDefault="00FB49AA" w:rsidP="006F538A">
            <w:pPr>
              <w:pStyle w:val="Default"/>
              <w:ind w:left="317" w:hanging="284"/>
              <w:rPr>
                <w:sz w:val="22"/>
                <w:szCs w:val="22"/>
              </w:rPr>
            </w:pPr>
            <w:r w:rsidRPr="006F538A">
              <w:rPr>
                <w:sz w:val="22"/>
                <w:szCs w:val="22"/>
              </w:rPr>
              <w:lastRenderedPageBreak/>
              <w:t>(b) to make efficient use of existing infrastructure and services and ensure that new housing has appropriate access to i</w:t>
            </w:r>
            <w:r w:rsidR="006F538A" w:rsidRPr="006F538A">
              <w:rPr>
                <w:sz w:val="22"/>
                <w:szCs w:val="22"/>
              </w:rPr>
              <w:t>nfrastructure and services, and</w:t>
            </w:r>
          </w:p>
          <w:p w14:paraId="77823FBC" w14:textId="77777777" w:rsidR="00E25F25" w:rsidRPr="006F538A" w:rsidRDefault="00FB49AA" w:rsidP="006F538A">
            <w:pPr>
              <w:pStyle w:val="Default"/>
              <w:ind w:left="317" w:hanging="284"/>
              <w:rPr>
                <w:sz w:val="22"/>
                <w:szCs w:val="22"/>
              </w:rPr>
            </w:pPr>
            <w:r w:rsidRPr="006F538A">
              <w:rPr>
                <w:sz w:val="22"/>
                <w:szCs w:val="22"/>
              </w:rPr>
              <w:t>(c) to minimise the impact of residential development on the environment and resource lands.</w:t>
            </w:r>
          </w:p>
        </w:tc>
        <w:tc>
          <w:tcPr>
            <w:tcW w:w="3543" w:type="dxa"/>
            <w:shd w:val="clear" w:color="auto" w:fill="auto"/>
          </w:tcPr>
          <w:p w14:paraId="5AD3FDAA" w14:textId="77777777" w:rsidR="00E25F25" w:rsidRPr="006F538A" w:rsidRDefault="009C7CE9" w:rsidP="006F538A">
            <w:pPr>
              <w:spacing w:after="0"/>
              <w:jc w:val="left"/>
            </w:pPr>
            <w:r>
              <w:lastRenderedPageBreak/>
              <w:t xml:space="preserve">Consistent. The Planning Proposal will not hinder the achievement of the objectives of this direction. </w:t>
            </w:r>
          </w:p>
        </w:tc>
      </w:tr>
      <w:tr w:rsidR="00FB49AA" w:rsidRPr="006F538A" w14:paraId="0D2CC34C" w14:textId="77777777" w:rsidTr="003B1F6D">
        <w:trPr>
          <w:trHeight w:val="283"/>
        </w:trPr>
        <w:tc>
          <w:tcPr>
            <w:tcW w:w="2405" w:type="dxa"/>
            <w:shd w:val="clear" w:color="auto" w:fill="auto"/>
          </w:tcPr>
          <w:p w14:paraId="40D2A644" w14:textId="77777777" w:rsidR="00FB49AA" w:rsidRPr="006F538A" w:rsidRDefault="00FB49AA" w:rsidP="004E63EF">
            <w:pPr>
              <w:pStyle w:val="ListParagraph"/>
              <w:numPr>
                <w:ilvl w:val="1"/>
                <w:numId w:val="7"/>
              </w:numPr>
              <w:spacing w:after="0"/>
              <w:ind w:left="567" w:hanging="567"/>
              <w:jc w:val="left"/>
            </w:pPr>
            <w:r w:rsidRPr="006F538A">
              <w:t>Caravan Parks and Manufactured Home Estates</w:t>
            </w:r>
          </w:p>
        </w:tc>
        <w:tc>
          <w:tcPr>
            <w:tcW w:w="4253" w:type="dxa"/>
            <w:shd w:val="clear" w:color="auto" w:fill="auto"/>
          </w:tcPr>
          <w:p w14:paraId="6C4162BB" w14:textId="77777777" w:rsidR="006F538A" w:rsidRPr="006F538A" w:rsidRDefault="00FB49AA" w:rsidP="006F538A">
            <w:pPr>
              <w:spacing w:after="0"/>
              <w:jc w:val="left"/>
            </w:pPr>
            <w:r w:rsidRPr="006F538A">
              <w:t xml:space="preserve">The objectives of this direction are: </w:t>
            </w:r>
          </w:p>
          <w:p w14:paraId="23758C95" w14:textId="77777777" w:rsidR="006F538A" w:rsidRPr="006F538A" w:rsidRDefault="00FB49AA" w:rsidP="006F538A">
            <w:pPr>
              <w:pStyle w:val="Default"/>
              <w:ind w:left="317" w:hanging="284"/>
              <w:rPr>
                <w:sz w:val="22"/>
                <w:szCs w:val="22"/>
              </w:rPr>
            </w:pPr>
            <w:r w:rsidRPr="006F538A">
              <w:rPr>
                <w:sz w:val="22"/>
                <w:szCs w:val="22"/>
              </w:rPr>
              <w:t>(a) to provide for a variety of housing types, and</w:t>
            </w:r>
          </w:p>
          <w:p w14:paraId="6F9EF24A" w14:textId="77777777" w:rsidR="00FB49AA" w:rsidRPr="006F538A" w:rsidRDefault="00FB49AA" w:rsidP="006F538A">
            <w:pPr>
              <w:pStyle w:val="Default"/>
              <w:ind w:left="317" w:hanging="284"/>
              <w:rPr>
                <w:sz w:val="22"/>
                <w:szCs w:val="22"/>
              </w:rPr>
            </w:pPr>
            <w:r w:rsidRPr="006F538A">
              <w:rPr>
                <w:sz w:val="22"/>
                <w:szCs w:val="22"/>
              </w:rPr>
              <w:t>(b) to provide opportunities for caravan parks and manufactured home estates.</w:t>
            </w:r>
          </w:p>
        </w:tc>
        <w:tc>
          <w:tcPr>
            <w:tcW w:w="3543" w:type="dxa"/>
            <w:shd w:val="clear" w:color="auto" w:fill="auto"/>
          </w:tcPr>
          <w:p w14:paraId="3FC1E9A2" w14:textId="77777777" w:rsidR="00FB49AA" w:rsidRPr="006F538A" w:rsidRDefault="00B018F9" w:rsidP="006F538A">
            <w:pPr>
              <w:spacing w:after="0"/>
              <w:jc w:val="left"/>
            </w:pPr>
            <w:r>
              <w:rPr>
                <w:sz w:val="20"/>
                <w:szCs w:val="20"/>
              </w:rPr>
              <w:t>N/A</w:t>
            </w:r>
          </w:p>
        </w:tc>
      </w:tr>
      <w:tr w:rsidR="00FB49AA" w:rsidRPr="006F538A" w14:paraId="37F0FF65" w14:textId="77777777" w:rsidTr="003B1F6D">
        <w:trPr>
          <w:trHeight w:val="283"/>
        </w:trPr>
        <w:tc>
          <w:tcPr>
            <w:tcW w:w="2405" w:type="dxa"/>
            <w:shd w:val="clear" w:color="auto" w:fill="auto"/>
          </w:tcPr>
          <w:p w14:paraId="094CED1D" w14:textId="77777777" w:rsidR="00FB49AA" w:rsidRPr="006F538A" w:rsidRDefault="00FB49AA" w:rsidP="004E63EF">
            <w:pPr>
              <w:pStyle w:val="ListParagraph"/>
              <w:numPr>
                <w:ilvl w:val="1"/>
                <w:numId w:val="7"/>
              </w:numPr>
              <w:spacing w:after="0"/>
              <w:ind w:left="567" w:hanging="567"/>
              <w:jc w:val="left"/>
            </w:pPr>
            <w:r w:rsidRPr="006F538A">
              <w:t>Home Occupations</w:t>
            </w:r>
          </w:p>
        </w:tc>
        <w:tc>
          <w:tcPr>
            <w:tcW w:w="4253" w:type="dxa"/>
            <w:shd w:val="clear" w:color="auto" w:fill="auto"/>
          </w:tcPr>
          <w:p w14:paraId="67313558" w14:textId="77777777" w:rsidR="00FB49AA" w:rsidRPr="006F538A" w:rsidRDefault="00FB49AA" w:rsidP="006F538A">
            <w:pPr>
              <w:spacing w:after="0"/>
            </w:pPr>
            <w:r w:rsidRPr="006F538A">
              <w:t>The objective of this direction is to encourage the carrying out of low-impact small businesses in dwelling houses.</w:t>
            </w:r>
          </w:p>
        </w:tc>
        <w:tc>
          <w:tcPr>
            <w:tcW w:w="3543" w:type="dxa"/>
            <w:shd w:val="clear" w:color="auto" w:fill="auto"/>
          </w:tcPr>
          <w:p w14:paraId="65D85991" w14:textId="77777777" w:rsidR="00FB49AA" w:rsidRPr="006F538A" w:rsidRDefault="00B018F9" w:rsidP="006F538A">
            <w:pPr>
              <w:spacing w:after="0"/>
              <w:jc w:val="left"/>
            </w:pPr>
            <w:r>
              <w:rPr>
                <w:sz w:val="20"/>
                <w:szCs w:val="20"/>
              </w:rPr>
              <w:t>N/A</w:t>
            </w:r>
          </w:p>
        </w:tc>
      </w:tr>
      <w:tr w:rsidR="00FB49AA" w:rsidRPr="006F538A" w14:paraId="7FC7F4F2" w14:textId="77777777" w:rsidTr="003B1F6D">
        <w:trPr>
          <w:trHeight w:val="283"/>
        </w:trPr>
        <w:tc>
          <w:tcPr>
            <w:tcW w:w="2405" w:type="dxa"/>
            <w:shd w:val="clear" w:color="auto" w:fill="auto"/>
          </w:tcPr>
          <w:p w14:paraId="338298DD" w14:textId="77777777" w:rsidR="00FB49AA" w:rsidRPr="006F538A" w:rsidRDefault="00FB49AA" w:rsidP="004E63EF">
            <w:pPr>
              <w:pStyle w:val="ListParagraph"/>
              <w:numPr>
                <w:ilvl w:val="1"/>
                <w:numId w:val="7"/>
              </w:numPr>
              <w:spacing w:after="0"/>
              <w:ind w:left="567" w:hanging="567"/>
              <w:jc w:val="left"/>
            </w:pPr>
            <w:r w:rsidRPr="006F538A">
              <w:t>Integrating Land Use and Transport</w:t>
            </w:r>
          </w:p>
        </w:tc>
        <w:tc>
          <w:tcPr>
            <w:tcW w:w="4253" w:type="dxa"/>
            <w:shd w:val="clear" w:color="auto" w:fill="auto"/>
          </w:tcPr>
          <w:p w14:paraId="342F2197" w14:textId="77777777" w:rsidR="006F538A" w:rsidRPr="006F538A" w:rsidRDefault="00FB49AA" w:rsidP="006F538A">
            <w:pPr>
              <w:spacing w:after="0"/>
              <w:jc w:val="left"/>
            </w:pPr>
            <w:r w:rsidRPr="006F538A">
              <w:t>The objective of this direction is to ensure that urban structures, building forms, land use locations, development designs, subdivision and street layouts achieve the following planning objectives:</w:t>
            </w:r>
          </w:p>
          <w:p w14:paraId="0F286664" w14:textId="77777777" w:rsidR="006F538A" w:rsidRPr="006F538A" w:rsidRDefault="00FB49AA" w:rsidP="006F538A">
            <w:pPr>
              <w:pStyle w:val="Default"/>
              <w:ind w:left="317" w:hanging="284"/>
              <w:rPr>
                <w:sz w:val="22"/>
                <w:szCs w:val="22"/>
              </w:rPr>
            </w:pPr>
            <w:r w:rsidRPr="006F538A">
              <w:rPr>
                <w:sz w:val="22"/>
                <w:szCs w:val="22"/>
              </w:rPr>
              <w:t>(a) improving access to housing, jobs and services by walking, cycling and public transport, and</w:t>
            </w:r>
          </w:p>
          <w:p w14:paraId="1BECB736" w14:textId="77777777" w:rsidR="006F538A" w:rsidRPr="006F538A" w:rsidRDefault="00FB49AA" w:rsidP="006F538A">
            <w:pPr>
              <w:pStyle w:val="Default"/>
              <w:ind w:left="317" w:hanging="284"/>
              <w:rPr>
                <w:sz w:val="22"/>
                <w:szCs w:val="22"/>
              </w:rPr>
            </w:pPr>
            <w:r w:rsidRPr="006F538A">
              <w:rPr>
                <w:sz w:val="22"/>
                <w:szCs w:val="22"/>
              </w:rPr>
              <w:t xml:space="preserve">(b) increasing the choice of available transport and reducing dependence on cars, and </w:t>
            </w:r>
          </w:p>
          <w:p w14:paraId="633D64E3" w14:textId="77777777" w:rsidR="006F538A" w:rsidRPr="006F538A" w:rsidRDefault="00FB49AA" w:rsidP="006F538A">
            <w:pPr>
              <w:pStyle w:val="Default"/>
              <w:ind w:left="317" w:hanging="284"/>
              <w:rPr>
                <w:sz w:val="22"/>
                <w:szCs w:val="22"/>
              </w:rPr>
            </w:pPr>
            <w:r w:rsidRPr="006F538A">
              <w:rPr>
                <w:sz w:val="22"/>
                <w:szCs w:val="22"/>
              </w:rPr>
              <w:t xml:space="preserve">(c) reducing travel demand including the number of trips generated by development and the distances travelled, especially by car, and </w:t>
            </w:r>
          </w:p>
          <w:p w14:paraId="4554433D" w14:textId="77777777" w:rsidR="006F538A" w:rsidRPr="006F538A" w:rsidRDefault="00FB49AA" w:rsidP="006F538A">
            <w:pPr>
              <w:pStyle w:val="Default"/>
              <w:ind w:left="317" w:hanging="284"/>
              <w:rPr>
                <w:sz w:val="22"/>
                <w:szCs w:val="22"/>
              </w:rPr>
            </w:pPr>
            <w:r w:rsidRPr="006F538A">
              <w:rPr>
                <w:sz w:val="22"/>
                <w:szCs w:val="22"/>
              </w:rPr>
              <w:t xml:space="preserve">(d) supporting the efficient and viable operation of public transport services, and </w:t>
            </w:r>
          </w:p>
          <w:p w14:paraId="4CA44EC8" w14:textId="77777777" w:rsidR="00FB49AA" w:rsidRPr="006F538A" w:rsidRDefault="006F538A" w:rsidP="006F538A">
            <w:pPr>
              <w:pStyle w:val="Default"/>
              <w:ind w:left="317" w:hanging="284"/>
              <w:rPr>
                <w:sz w:val="22"/>
                <w:szCs w:val="22"/>
              </w:rPr>
            </w:pPr>
            <w:r w:rsidRPr="006F538A">
              <w:rPr>
                <w:sz w:val="22"/>
                <w:szCs w:val="22"/>
              </w:rPr>
              <w:t>(</w:t>
            </w:r>
            <w:r w:rsidR="00FB49AA" w:rsidRPr="006F538A">
              <w:rPr>
                <w:sz w:val="22"/>
                <w:szCs w:val="22"/>
              </w:rPr>
              <w:t>e) providing for the efficient movement of freight.</w:t>
            </w:r>
          </w:p>
        </w:tc>
        <w:tc>
          <w:tcPr>
            <w:tcW w:w="3543" w:type="dxa"/>
            <w:shd w:val="clear" w:color="auto" w:fill="auto"/>
          </w:tcPr>
          <w:p w14:paraId="566F1D68" w14:textId="77777777" w:rsidR="00FB49AA" w:rsidRPr="006F538A" w:rsidRDefault="0030024E" w:rsidP="006F538A">
            <w:pPr>
              <w:spacing w:after="0"/>
              <w:jc w:val="left"/>
            </w:pPr>
            <w:r>
              <w:t>N/A</w:t>
            </w:r>
          </w:p>
        </w:tc>
      </w:tr>
      <w:tr w:rsidR="00FB49AA" w:rsidRPr="006F538A" w14:paraId="3BF6CD20" w14:textId="77777777" w:rsidTr="003B1F6D">
        <w:trPr>
          <w:trHeight w:val="283"/>
        </w:trPr>
        <w:tc>
          <w:tcPr>
            <w:tcW w:w="2405" w:type="dxa"/>
            <w:shd w:val="clear" w:color="auto" w:fill="auto"/>
          </w:tcPr>
          <w:p w14:paraId="350CE3C6" w14:textId="77777777" w:rsidR="00FB49AA" w:rsidRPr="006F538A" w:rsidRDefault="00FB49AA" w:rsidP="004E63EF">
            <w:pPr>
              <w:pStyle w:val="ListParagraph"/>
              <w:numPr>
                <w:ilvl w:val="1"/>
                <w:numId w:val="7"/>
              </w:numPr>
              <w:spacing w:after="0"/>
              <w:ind w:left="567" w:hanging="567"/>
              <w:jc w:val="left"/>
            </w:pPr>
            <w:r w:rsidRPr="006F538A">
              <w:t>Development Near Licensed Aerodromes</w:t>
            </w:r>
          </w:p>
        </w:tc>
        <w:tc>
          <w:tcPr>
            <w:tcW w:w="4253" w:type="dxa"/>
            <w:shd w:val="clear" w:color="auto" w:fill="auto"/>
          </w:tcPr>
          <w:p w14:paraId="4A8AE025" w14:textId="77777777" w:rsidR="006F538A" w:rsidRPr="006F538A" w:rsidRDefault="00FB49AA" w:rsidP="006F538A">
            <w:pPr>
              <w:spacing w:after="0"/>
              <w:jc w:val="left"/>
            </w:pPr>
            <w:r w:rsidRPr="006F538A">
              <w:t xml:space="preserve">The objectives of this direction are: </w:t>
            </w:r>
          </w:p>
          <w:p w14:paraId="4CC5D4A4" w14:textId="77777777" w:rsidR="006F538A" w:rsidRPr="006F538A" w:rsidRDefault="00FB49AA" w:rsidP="006F538A">
            <w:pPr>
              <w:pStyle w:val="Default"/>
              <w:ind w:left="317" w:hanging="284"/>
              <w:rPr>
                <w:sz w:val="22"/>
                <w:szCs w:val="22"/>
              </w:rPr>
            </w:pPr>
            <w:r w:rsidRPr="006F538A">
              <w:rPr>
                <w:sz w:val="22"/>
                <w:szCs w:val="22"/>
              </w:rPr>
              <w:t xml:space="preserve">(a) to ensure the effective and safe operation of aerodromes, and </w:t>
            </w:r>
          </w:p>
          <w:p w14:paraId="5C7B7251" w14:textId="77777777" w:rsidR="006F538A" w:rsidRPr="006F538A" w:rsidRDefault="00FB49AA" w:rsidP="006F538A">
            <w:pPr>
              <w:pStyle w:val="Default"/>
              <w:ind w:left="317" w:hanging="284"/>
              <w:rPr>
                <w:sz w:val="22"/>
                <w:szCs w:val="22"/>
              </w:rPr>
            </w:pPr>
            <w:r w:rsidRPr="006F538A">
              <w:rPr>
                <w:sz w:val="22"/>
                <w:szCs w:val="22"/>
              </w:rPr>
              <w:t xml:space="preserve">(b) to ensure that their operation is not compromised by development that constitutes an obstruction, hazard or potential hazard to aircraft flying in the vicinity, and </w:t>
            </w:r>
          </w:p>
          <w:p w14:paraId="06DD65FF" w14:textId="77777777" w:rsidR="00FB49AA" w:rsidRPr="006F538A" w:rsidRDefault="00FB49AA" w:rsidP="006F538A">
            <w:pPr>
              <w:pStyle w:val="Default"/>
              <w:ind w:left="317" w:hanging="284"/>
              <w:rPr>
                <w:sz w:val="22"/>
                <w:szCs w:val="22"/>
              </w:rPr>
            </w:pPr>
            <w:r w:rsidRPr="006F538A">
              <w:rPr>
                <w:sz w:val="22"/>
                <w:szCs w:val="22"/>
              </w:rPr>
              <w:t>(c) to ensure development for residential purposes or human occupation, if situated on land within the Australian Noise Exposure Forecast (ANEF) contours of between 20 and 25, incorporates appropriate mitigation measures so that the development is not adversely affected by aircraft noise.</w:t>
            </w:r>
          </w:p>
        </w:tc>
        <w:tc>
          <w:tcPr>
            <w:tcW w:w="3543" w:type="dxa"/>
            <w:shd w:val="clear" w:color="auto" w:fill="auto"/>
          </w:tcPr>
          <w:p w14:paraId="769E8F92" w14:textId="77777777" w:rsidR="00FB49AA" w:rsidRPr="006F538A" w:rsidRDefault="00B018F9" w:rsidP="006F538A">
            <w:pPr>
              <w:spacing w:after="0"/>
              <w:jc w:val="left"/>
            </w:pPr>
            <w:r>
              <w:rPr>
                <w:sz w:val="20"/>
                <w:szCs w:val="20"/>
              </w:rPr>
              <w:t>N/A</w:t>
            </w:r>
          </w:p>
        </w:tc>
      </w:tr>
      <w:tr w:rsidR="00FB49AA" w:rsidRPr="006F538A" w14:paraId="22DD8CCD" w14:textId="77777777" w:rsidTr="003B1F6D">
        <w:trPr>
          <w:trHeight w:val="283"/>
        </w:trPr>
        <w:tc>
          <w:tcPr>
            <w:tcW w:w="2405" w:type="dxa"/>
            <w:shd w:val="clear" w:color="auto" w:fill="auto"/>
          </w:tcPr>
          <w:p w14:paraId="06280C7C" w14:textId="77777777" w:rsidR="00FB49AA" w:rsidRPr="006F538A" w:rsidRDefault="00FB49AA" w:rsidP="004E63EF">
            <w:pPr>
              <w:pStyle w:val="ListParagraph"/>
              <w:numPr>
                <w:ilvl w:val="1"/>
                <w:numId w:val="7"/>
              </w:numPr>
              <w:spacing w:after="0"/>
              <w:ind w:left="567" w:hanging="567"/>
              <w:jc w:val="left"/>
            </w:pPr>
            <w:r w:rsidRPr="006F538A">
              <w:t>Shooting Ranges</w:t>
            </w:r>
          </w:p>
        </w:tc>
        <w:tc>
          <w:tcPr>
            <w:tcW w:w="4253" w:type="dxa"/>
            <w:shd w:val="clear" w:color="auto" w:fill="auto"/>
          </w:tcPr>
          <w:p w14:paraId="4973ABF1" w14:textId="77777777" w:rsidR="006F538A" w:rsidRPr="006F538A" w:rsidRDefault="00FB49AA" w:rsidP="006F538A">
            <w:pPr>
              <w:spacing w:after="0"/>
              <w:jc w:val="left"/>
            </w:pPr>
            <w:r w:rsidRPr="006F538A">
              <w:t xml:space="preserve">The objectives are: </w:t>
            </w:r>
          </w:p>
          <w:p w14:paraId="75980D8C" w14:textId="77777777" w:rsidR="006F538A" w:rsidRPr="006F538A" w:rsidRDefault="00FB49AA" w:rsidP="006F538A">
            <w:pPr>
              <w:pStyle w:val="Default"/>
              <w:ind w:left="317" w:hanging="284"/>
              <w:rPr>
                <w:sz w:val="22"/>
                <w:szCs w:val="22"/>
              </w:rPr>
            </w:pPr>
            <w:r w:rsidRPr="006F538A">
              <w:rPr>
                <w:sz w:val="22"/>
                <w:szCs w:val="22"/>
              </w:rPr>
              <w:t xml:space="preserve">(a) to maintain appropriate levels of public safety and amenity when </w:t>
            </w:r>
            <w:r w:rsidRPr="006F538A">
              <w:rPr>
                <w:sz w:val="22"/>
                <w:szCs w:val="22"/>
              </w:rPr>
              <w:lastRenderedPageBreak/>
              <w:t>rezoning land adjacent to an existing shooting range,</w:t>
            </w:r>
          </w:p>
          <w:p w14:paraId="654C9B42" w14:textId="77777777" w:rsidR="006F538A" w:rsidRPr="006F538A" w:rsidRDefault="00FB49AA" w:rsidP="006F538A">
            <w:pPr>
              <w:pStyle w:val="Default"/>
              <w:ind w:left="317" w:hanging="284"/>
              <w:rPr>
                <w:sz w:val="22"/>
                <w:szCs w:val="22"/>
              </w:rPr>
            </w:pPr>
            <w:r w:rsidRPr="006F538A">
              <w:rPr>
                <w:sz w:val="22"/>
                <w:szCs w:val="22"/>
              </w:rPr>
              <w:t>(b) to reduce land use conflict arising between existing shooting ranges and rezoning of adjacent land,</w:t>
            </w:r>
          </w:p>
          <w:p w14:paraId="46ED264B" w14:textId="77777777" w:rsidR="00FB49AA" w:rsidRPr="006F538A" w:rsidRDefault="00FB49AA" w:rsidP="006F538A">
            <w:pPr>
              <w:pStyle w:val="Default"/>
              <w:ind w:left="317" w:hanging="284"/>
              <w:rPr>
                <w:sz w:val="22"/>
                <w:szCs w:val="22"/>
              </w:rPr>
            </w:pPr>
            <w:r w:rsidRPr="006F538A">
              <w:rPr>
                <w:sz w:val="22"/>
                <w:szCs w:val="22"/>
              </w:rPr>
              <w:t>(c) to identify issues that must be addressed when giving consideration to rezoning land adjacent to an existing shooting range.</w:t>
            </w:r>
          </w:p>
        </w:tc>
        <w:tc>
          <w:tcPr>
            <w:tcW w:w="3543" w:type="dxa"/>
            <w:shd w:val="clear" w:color="auto" w:fill="auto"/>
          </w:tcPr>
          <w:p w14:paraId="12E2D3A1" w14:textId="77777777" w:rsidR="00FB49AA" w:rsidRPr="006F538A" w:rsidRDefault="00B018F9" w:rsidP="006F538A">
            <w:pPr>
              <w:spacing w:after="0"/>
              <w:jc w:val="left"/>
            </w:pPr>
            <w:r>
              <w:rPr>
                <w:sz w:val="20"/>
                <w:szCs w:val="20"/>
              </w:rPr>
              <w:lastRenderedPageBreak/>
              <w:t>N/A</w:t>
            </w:r>
          </w:p>
        </w:tc>
      </w:tr>
      <w:tr w:rsidR="00FB49AA" w:rsidRPr="006F538A" w14:paraId="5041E5C9" w14:textId="77777777" w:rsidTr="003941A5">
        <w:trPr>
          <w:trHeight w:val="283"/>
        </w:trPr>
        <w:tc>
          <w:tcPr>
            <w:tcW w:w="10201" w:type="dxa"/>
            <w:gridSpan w:val="3"/>
            <w:shd w:val="clear" w:color="auto" w:fill="A6A6A6" w:themeFill="background1" w:themeFillShade="A6"/>
            <w:vAlign w:val="center"/>
          </w:tcPr>
          <w:p w14:paraId="286F48A0" w14:textId="77777777" w:rsidR="00FB49AA" w:rsidRPr="006F538A" w:rsidRDefault="00FB49AA" w:rsidP="004E63EF">
            <w:pPr>
              <w:pStyle w:val="ListParagraph"/>
              <w:numPr>
                <w:ilvl w:val="0"/>
                <w:numId w:val="7"/>
              </w:numPr>
              <w:spacing w:after="0"/>
              <w:ind w:left="567" w:hanging="567"/>
              <w:jc w:val="left"/>
            </w:pPr>
            <w:r w:rsidRPr="006F538A">
              <w:t>Hazard and Risk</w:t>
            </w:r>
          </w:p>
        </w:tc>
      </w:tr>
      <w:tr w:rsidR="00FB49AA" w:rsidRPr="006F538A" w14:paraId="2AFA5F21" w14:textId="77777777" w:rsidTr="003B1F6D">
        <w:trPr>
          <w:trHeight w:val="283"/>
        </w:trPr>
        <w:tc>
          <w:tcPr>
            <w:tcW w:w="2405" w:type="dxa"/>
            <w:shd w:val="clear" w:color="auto" w:fill="auto"/>
          </w:tcPr>
          <w:p w14:paraId="0B192AB0" w14:textId="77777777" w:rsidR="00FB49AA" w:rsidRPr="006F538A" w:rsidRDefault="00FB49AA" w:rsidP="004E63EF">
            <w:pPr>
              <w:pStyle w:val="ListParagraph"/>
              <w:numPr>
                <w:ilvl w:val="1"/>
                <w:numId w:val="7"/>
              </w:numPr>
              <w:spacing w:after="0"/>
              <w:ind w:left="567" w:hanging="567"/>
              <w:jc w:val="left"/>
            </w:pPr>
            <w:r w:rsidRPr="006F538A">
              <w:t>Acid Sulfate Soils</w:t>
            </w:r>
          </w:p>
        </w:tc>
        <w:tc>
          <w:tcPr>
            <w:tcW w:w="4253" w:type="dxa"/>
            <w:shd w:val="clear" w:color="auto" w:fill="auto"/>
          </w:tcPr>
          <w:p w14:paraId="5F874D2B" w14:textId="77777777" w:rsidR="00FB49AA" w:rsidRPr="006F538A" w:rsidRDefault="00FB49AA" w:rsidP="006F538A">
            <w:pPr>
              <w:spacing w:after="0"/>
            </w:pPr>
            <w:r w:rsidRPr="006F538A">
              <w:t>The objective of this direction is to avoid significant adverse environmental impacts from the use of land</w:t>
            </w:r>
            <w:r w:rsidR="006F538A" w:rsidRPr="006F538A">
              <w:t xml:space="preserve"> </w:t>
            </w:r>
            <w:r w:rsidRPr="006F538A">
              <w:t>that has a probability of containing acid sulfate soils.</w:t>
            </w:r>
          </w:p>
        </w:tc>
        <w:tc>
          <w:tcPr>
            <w:tcW w:w="3543" w:type="dxa"/>
            <w:shd w:val="clear" w:color="auto" w:fill="auto"/>
          </w:tcPr>
          <w:p w14:paraId="64A86367" w14:textId="77777777" w:rsidR="00FB49AA" w:rsidRPr="006F538A" w:rsidRDefault="0030024E" w:rsidP="006F538A">
            <w:pPr>
              <w:spacing w:after="0"/>
              <w:jc w:val="left"/>
            </w:pPr>
            <w:r>
              <w:t>N/A</w:t>
            </w:r>
          </w:p>
        </w:tc>
      </w:tr>
      <w:tr w:rsidR="00FB49AA" w:rsidRPr="006F538A" w14:paraId="6A97EE9B" w14:textId="77777777" w:rsidTr="003B1F6D">
        <w:trPr>
          <w:trHeight w:val="283"/>
        </w:trPr>
        <w:tc>
          <w:tcPr>
            <w:tcW w:w="2405" w:type="dxa"/>
            <w:shd w:val="clear" w:color="auto" w:fill="auto"/>
          </w:tcPr>
          <w:p w14:paraId="6220405D" w14:textId="77777777" w:rsidR="00FB49AA" w:rsidRPr="006F538A" w:rsidRDefault="00FB49AA" w:rsidP="004E63EF">
            <w:pPr>
              <w:pStyle w:val="ListParagraph"/>
              <w:numPr>
                <w:ilvl w:val="1"/>
                <w:numId w:val="7"/>
              </w:numPr>
              <w:spacing w:after="0"/>
              <w:ind w:left="567" w:hanging="567"/>
              <w:jc w:val="left"/>
            </w:pPr>
            <w:r w:rsidRPr="006F538A">
              <w:t>Mine Subsidence and Unstable Land</w:t>
            </w:r>
          </w:p>
        </w:tc>
        <w:tc>
          <w:tcPr>
            <w:tcW w:w="4253" w:type="dxa"/>
            <w:shd w:val="clear" w:color="auto" w:fill="auto"/>
          </w:tcPr>
          <w:p w14:paraId="0A5225A7" w14:textId="77777777" w:rsidR="00FB49AA" w:rsidRPr="006F538A" w:rsidRDefault="00FB49AA" w:rsidP="006F538A">
            <w:pPr>
              <w:spacing w:after="0"/>
            </w:pPr>
            <w:r w:rsidRPr="006F538A">
              <w:t>The objective of this direction is to prevent damage to life, property and the environment on land</w:t>
            </w:r>
            <w:r w:rsidR="006F538A" w:rsidRPr="006F538A">
              <w:t xml:space="preserve"> </w:t>
            </w:r>
            <w:r w:rsidRPr="006F538A">
              <w:t xml:space="preserve">identified as unstable or potentially subject to mine subsidence. </w:t>
            </w:r>
          </w:p>
        </w:tc>
        <w:tc>
          <w:tcPr>
            <w:tcW w:w="3543" w:type="dxa"/>
            <w:shd w:val="clear" w:color="auto" w:fill="auto"/>
          </w:tcPr>
          <w:p w14:paraId="0C7B206F" w14:textId="45A11F66" w:rsidR="00FB49AA" w:rsidRPr="006F538A" w:rsidRDefault="008069C1" w:rsidP="005F310A">
            <w:pPr>
              <w:spacing w:after="0"/>
              <w:jc w:val="left"/>
            </w:pPr>
            <w:r>
              <w:t>N/A</w:t>
            </w:r>
          </w:p>
        </w:tc>
      </w:tr>
      <w:tr w:rsidR="00FB49AA" w:rsidRPr="006F538A" w14:paraId="72C64285" w14:textId="77777777" w:rsidTr="003B1F6D">
        <w:trPr>
          <w:trHeight w:val="283"/>
        </w:trPr>
        <w:tc>
          <w:tcPr>
            <w:tcW w:w="2405" w:type="dxa"/>
            <w:shd w:val="clear" w:color="auto" w:fill="auto"/>
          </w:tcPr>
          <w:p w14:paraId="61A9978F" w14:textId="77777777" w:rsidR="00FB49AA" w:rsidRPr="006F538A" w:rsidRDefault="00FB49AA" w:rsidP="004E63EF">
            <w:pPr>
              <w:pStyle w:val="ListParagraph"/>
              <w:numPr>
                <w:ilvl w:val="1"/>
                <w:numId w:val="7"/>
              </w:numPr>
              <w:spacing w:after="0"/>
              <w:ind w:left="567" w:hanging="567"/>
              <w:jc w:val="left"/>
            </w:pPr>
            <w:r w:rsidRPr="006F538A">
              <w:t>Flood Prone Land</w:t>
            </w:r>
          </w:p>
        </w:tc>
        <w:tc>
          <w:tcPr>
            <w:tcW w:w="4253" w:type="dxa"/>
            <w:shd w:val="clear" w:color="auto" w:fill="auto"/>
          </w:tcPr>
          <w:p w14:paraId="42282E54" w14:textId="77777777" w:rsidR="006F538A" w:rsidRPr="006F538A" w:rsidRDefault="00FB49AA" w:rsidP="006F538A">
            <w:pPr>
              <w:spacing w:after="0"/>
              <w:jc w:val="left"/>
            </w:pPr>
            <w:r w:rsidRPr="006F538A">
              <w:t xml:space="preserve">The objectives of this direction are: </w:t>
            </w:r>
          </w:p>
          <w:p w14:paraId="1A861D24" w14:textId="77777777" w:rsidR="006F538A" w:rsidRPr="006F538A" w:rsidRDefault="00FB49AA" w:rsidP="006F538A">
            <w:pPr>
              <w:pStyle w:val="Default"/>
              <w:ind w:left="317" w:hanging="284"/>
              <w:rPr>
                <w:sz w:val="22"/>
                <w:szCs w:val="22"/>
              </w:rPr>
            </w:pPr>
            <w:r w:rsidRPr="006F538A">
              <w:rPr>
                <w:sz w:val="22"/>
                <w:szCs w:val="22"/>
              </w:rPr>
              <w:t>(a) to ensure that development of flood prone land is consistent with the NSW Government’s Flood Prone Land Policy and the principles of the Floodplain Development Manual 2005, and</w:t>
            </w:r>
          </w:p>
          <w:p w14:paraId="2618B2A4" w14:textId="77777777" w:rsidR="00FB49AA" w:rsidRPr="006F538A" w:rsidRDefault="00FB49AA" w:rsidP="006F538A">
            <w:pPr>
              <w:pStyle w:val="Default"/>
              <w:ind w:left="317" w:hanging="284"/>
              <w:rPr>
                <w:sz w:val="22"/>
                <w:szCs w:val="22"/>
              </w:rPr>
            </w:pPr>
            <w:r w:rsidRPr="006F538A">
              <w:rPr>
                <w:sz w:val="22"/>
                <w:szCs w:val="22"/>
              </w:rPr>
              <w:t>(b) to ensure that the provisions of an LEP on flood prone land is commensurate with flood hazard and includes consideration of the potential flood impacts both on and off the subject land.</w:t>
            </w:r>
          </w:p>
        </w:tc>
        <w:tc>
          <w:tcPr>
            <w:tcW w:w="3543" w:type="dxa"/>
            <w:shd w:val="clear" w:color="auto" w:fill="auto"/>
          </w:tcPr>
          <w:p w14:paraId="1CBF5255" w14:textId="5C0B29AF" w:rsidR="00BF4B7A" w:rsidRPr="006F538A" w:rsidRDefault="008069C1" w:rsidP="006F538A">
            <w:pPr>
              <w:spacing w:after="0"/>
              <w:jc w:val="left"/>
            </w:pPr>
            <w:r>
              <w:t>N/A</w:t>
            </w:r>
          </w:p>
        </w:tc>
      </w:tr>
      <w:tr w:rsidR="00FB49AA" w:rsidRPr="006F538A" w14:paraId="045D97EE" w14:textId="77777777" w:rsidTr="003B1F6D">
        <w:trPr>
          <w:trHeight w:val="283"/>
        </w:trPr>
        <w:tc>
          <w:tcPr>
            <w:tcW w:w="2405" w:type="dxa"/>
            <w:shd w:val="clear" w:color="auto" w:fill="auto"/>
          </w:tcPr>
          <w:p w14:paraId="3AF2D8A2" w14:textId="77777777" w:rsidR="00FB49AA" w:rsidRPr="006F538A" w:rsidRDefault="00FB49AA" w:rsidP="004E63EF">
            <w:pPr>
              <w:pStyle w:val="ListParagraph"/>
              <w:numPr>
                <w:ilvl w:val="1"/>
                <w:numId w:val="7"/>
              </w:numPr>
              <w:spacing w:after="0"/>
              <w:ind w:left="567" w:hanging="567"/>
              <w:jc w:val="left"/>
            </w:pPr>
            <w:r w:rsidRPr="006F538A">
              <w:t>Planning for Bushfire Protection</w:t>
            </w:r>
          </w:p>
        </w:tc>
        <w:tc>
          <w:tcPr>
            <w:tcW w:w="4253" w:type="dxa"/>
            <w:shd w:val="clear" w:color="auto" w:fill="auto"/>
          </w:tcPr>
          <w:p w14:paraId="116DA37C" w14:textId="77777777" w:rsidR="006F538A" w:rsidRPr="006F538A" w:rsidRDefault="00FB49AA" w:rsidP="006F538A">
            <w:pPr>
              <w:spacing w:after="0"/>
              <w:jc w:val="left"/>
            </w:pPr>
            <w:r w:rsidRPr="006F538A">
              <w:t>The objectives of this direction are:</w:t>
            </w:r>
          </w:p>
          <w:p w14:paraId="36257D5A" w14:textId="77777777" w:rsidR="006F538A" w:rsidRPr="006F538A" w:rsidRDefault="00FB49AA" w:rsidP="006F538A">
            <w:pPr>
              <w:pStyle w:val="Default"/>
              <w:ind w:left="317" w:hanging="284"/>
              <w:rPr>
                <w:sz w:val="22"/>
                <w:szCs w:val="22"/>
              </w:rPr>
            </w:pPr>
            <w:r w:rsidRPr="006F538A">
              <w:rPr>
                <w:sz w:val="22"/>
                <w:szCs w:val="22"/>
              </w:rPr>
              <w:t>(a) to protect life, property and the environment from bush fire hazards, by discouraging the establishment of incompatible land uses in bush fire prone areas, and</w:t>
            </w:r>
          </w:p>
          <w:p w14:paraId="5746AD1A" w14:textId="77777777" w:rsidR="00FB49AA" w:rsidRPr="006F538A" w:rsidRDefault="00FB49AA" w:rsidP="006F538A">
            <w:pPr>
              <w:pStyle w:val="Default"/>
              <w:ind w:left="317" w:hanging="284"/>
              <w:rPr>
                <w:sz w:val="22"/>
                <w:szCs w:val="22"/>
              </w:rPr>
            </w:pPr>
            <w:r w:rsidRPr="006F538A">
              <w:rPr>
                <w:sz w:val="22"/>
                <w:szCs w:val="22"/>
              </w:rPr>
              <w:t>(b) to encourage sound management of bush fire prone areas.</w:t>
            </w:r>
          </w:p>
        </w:tc>
        <w:tc>
          <w:tcPr>
            <w:tcW w:w="3543" w:type="dxa"/>
            <w:shd w:val="clear" w:color="auto" w:fill="auto"/>
          </w:tcPr>
          <w:p w14:paraId="0737D7C7" w14:textId="3D892A23" w:rsidR="00FD7249" w:rsidRPr="006F538A" w:rsidRDefault="008069C1" w:rsidP="006F538A">
            <w:pPr>
              <w:spacing w:after="0"/>
              <w:jc w:val="left"/>
            </w:pPr>
            <w:r>
              <w:t>N/A</w:t>
            </w:r>
          </w:p>
        </w:tc>
      </w:tr>
      <w:tr w:rsidR="00FB49AA" w:rsidRPr="006F538A" w14:paraId="5A8F6973" w14:textId="77777777" w:rsidTr="003941A5">
        <w:trPr>
          <w:trHeight w:val="283"/>
        </w:trPr>
        <w:tc>
          <w:tcPr>
            <w:tcW w:w="10201" w:type="dxa"/>
            <w:gridSpan w:val="3"/>
            <w:shd w:val="clear" w:color="auto" w:fill="A6A6A6" w:themeFill="background1" w:themeFillShade="A6"/>
            <w:vAlign w:val="center"/>
          </w:tcPr>
          <w:p w14:paraId="159A4680" w14:textId="77777777" w:rsidR="00FB49AA" w:rsidRPr="006F538A" w:rsidRDefault="00FB49AA" w:rsidP="004E63EF">
            <w:pPr>
              <w:pStyle w:val="ListParagraph"/>
              <w:numPr>
                <w:ilvl w:val="0"/>
                <w:numId w:val="7"/>
              </w:numPr>
              <w:spacing w:after="0"/>
              <w:ind w:left="567" w:hanging="567"/>
              <w:jc w:val="left"/>
            </w:pPr>
            <w:r w:rsidRPr="006F538A">
              <w:t>Regional Planning</w:t>
            </w:r>
          </w:p>
        </w:tc>
      </w:tr>
      <w:tr w:rsidR="00FB49AA" w:rsidRPr="006F538A" w14:paraId="72603941" w14:textId="77777777" w:rsidTr="003B1F6D">
        <w:trPr>
          <w:trHeight w:val="283"/>
        </w:trPr>
        <w:tc>
          <w:tcPr>
            <w:tcW w:w="2405" w:type="dxa"/>
            <w:shd w:val="clear" w:color="auto" w:fill="auto"/>
          </w:tcPr>
          <w:p w14:paraId="4ACD4F85" w14:textId="77777777" w:rsidR="00FB49AA" w:rsidRPr="006F538A" w:rsidRDefault="00FB49AA" w:rsidP="004E63EF">
            <w:pPr>
              <w:pStyle w:val="ListParagraph"/>
              <w:numPr>
                <w:ilvl w:val="1"/>
                <w:numId w:val="8"/>
              </w:numPr>
              <w:spacing w:after="0"/>
              <w:ind w:left="567" w:hanging="567"/>
              <w:jc w:val="left"/>
            </w:pPr>
            <w:r w:rsidRPr="006F538A">
              <w:t>Implementation of Regional Plans</w:t>
            </w:r>
          </w:p>
        </w:tc>
        <w:tc>
          <w:tcPr>
            <w:tcW w:w="4253" w:type="dxa"/>
            <w:shd w:val="clear" w:color="auto" w:fill="auto"/>
          </w:tcPr>
          <w:p w14:paraId="41708CFD" w14:textId="77777777" w:rsidR="00FB49AA" w:rsidRPr="006F538A" w:rsidRDefault="00FB49AA" w:rsidP="006F538A">
            <w:pPr>
              <w:spacing w:after="0"/>
            </w:pPr>
            <w:r w:rsidRPr="006F538A">
              <w:t>The objective of this direction is to give legal effect to the vision, land use strategy, goals, directions and actions contained in Regional Plans.</w:t>
            </w:r>
          </w:p>
        </w:tc>
        <w:tc>
          <w:tcPr>
            <w:tcW w:w="3543" w:type="dxa"/>
            <w:shd w:val="clear" w:color="auto" w:fill="auto"/>
          </w:tcPr>
          <w:p w14:paraId="15DDA06D" w14:textId="77777777" w:rsidR="00FB49AA" w:rsidRPr="006F538A" w:rsidRDefault="006366C4" w:rsidP="006F538A">
            <w:pPr>
              <w:spacing w:after="0"/>
              <w:jc w:val="left"/>
            </w:pPr>
            <w:r>
              <w:t>N/A</w:t>
            </w:r>
          </w:p>
        </w:tc>
      </w:tr>
      <w:tr w:rsidR="00FB49AA" w:rsidRPr="006F538A" w14:paraId="313E2C53" w14:textId="77777777" w:rsidTr="003941A5">
        <w:trPr>
          <w:trHeight w:val="283"/>
        </w:trPr>
        <w:tc>
          <w:tcPr>
            <w:tcW w:w="10201" w:type="dxa"/>
            <w:gridSpan w:val="3"/>
            <w:shd w:val="clear" w:color="auto" w:fill="A6A6A6" w:themeFill="background1" w:themeFillShade="A6"/>
            <w:vAlign w:val="center"/>
          </w:tcPr>
          <w:p w14:paraId="708173A3" w14:textId="77777777" w:rsidR="00FB49AA" w:rsidRPr="006F538A" w:rsidRDefault="00FB49AA" w:rsidP="004E63EF">
            <w:pPr>
              <w:pStyle w:val="ListParagraph"/>
              <w:numPr>
                <w:ilvl w:val="0"/>
                <w:numId w:val="8"/>
              </w:numPr>
              <w:spacing w:after="0"/>
              <w:ind w:left="567" w:hanging="567"/>
              <w:jc w:val="left"/>
            </w:pPr>
            <w:r w:rsidRPr="006F538A">
              <w:t>Local Plan Making</w:t>
            </w:r>
          </w:p>
        </w:tc>
      </w:tr>
      <w:tr w:rsidR="00FB49AA" w:rsidRPr="006F538A" w14:paraId="5D859B67" w14:textId="77777777" w:rsidTr="003B1F6D">
        <w:trPr>
          <w:trHeight w:val="283"/>
        </w:trPr>
        <w:tc>
          <w:tcPr>
            <w:tcW w:w="2405" w:type="dxa"/>
            <w:shd w:val="clear" w:color="auto" w:fill="auto"/>
          </w:tcPr>
          <w:p w14:paraId="39374C96" w14:textId="77777777" w:rsidR="00FB49AA" w:rsidRPr="006F538A" w:rsidRDefault="00FB49AA" w:rsidP="004E63EF">
            <w:pPr>
              <w:pStyle w:val="ListParagraph"/>
              <w:numPr>
                <w:ilvl w:val="1"/>
                <w:numId w:val="9"/>
              </w:numPr>
              <w:spacing w:after="0"/>
              <w:ind w:left="567" w:hanging="567"/>
              <w:jc w:val="left"/>
            </w:pPr>
            <w:r w:rsidRPr="006F538A">
              <w:t>Approval and Referral Requirements</w:t>
            </w:r>
          </w:p>
        </w:tc>
        <w:tc>
          <w:tcPr>
            <w:tcW w:w="4253" w:type="dxa"/>
            <w:shd w:val="clear" w:color="auto" w:fill="auto"/>
          </w:tcPr>
          <w:p w14:paraId="1981E791" w14:textId="77777777" w:rsidR="00FB49AA" w:rsidRPr="006F538A" w:rsidRDefault="00FB49AA" w:rsidP="006F538A">
            <w:pPr>
              <w:spacing w:after="0"/>
            </w:pPr>
            <w:r w:rsidRPr="006F538A">
              <w:t>The objective of this direction is to ensure that LEP provisions encourage the efficient and appropriate assessment of development.</w:t>
            </w:r>
          </w:p>
        </w:tc>
        <w:tc>
          <w:tcPr>
            <w:tcW w:w="3543" w:type="dxa"/>
            <w:shd w:val="clear" w:color="auto" w:fill="auto"/>
          </w:tcPr>
          <w:p w14:paraId="279D6DAF" w14:textId="77777777" w:rsidR="00FB49AA" w:rsidRPr="006F538A" w:rsidRDefault="006366C4" w:rsidP="006F538A">
            <w:pPr>
              <w:tabs>
                <w:tab w:val="left" w:pos="2311"/>
              </w:tabs>
              <w:spacing w:after="0"/>
            </w:pPr>
            <w:r>
              <w:t>N/A</w:t>
            </w:r>
          </w:p>
        </w:tc>
      </w:tr>
      <w:tr w:rsidR="00FB49AA" w:rsidRPr="006F538A" w14:paraId="350FDEFB" w14:textId="77777777" w:rsidTr="003B1F6D">
        <w:trPr>
          <w:trHeight w:val="283"/>
        </w:trPr>
        <w:tc>
          <w:tcPr>
            <w:tcW w:w="2405" w:type="dxa"/>
            <w:shd w:val="clear" w:color="auto" w:fill="auto"/>
          </w:tcPr>
          <w:p w14:paraId="69A7AD89" w14:textId="77777777" w:rsidR="00FB49AA" w:rsidRPr="006F538A" w:rsidRDefault="00FB49AA" w:rsidP="004E63EF">
            <w:pPr>
              <w:pStyle w:val="ListParagraph"/>
              <w:numPr>
                <w:ilvl w:val="1"/>
                <w:numId w:val="9"/>
              </w:numPr>
              <w:spacing w:after="0"/>
              <w:ind w:left="567" w:hanging="567"/>
              <w:jc w:val="left"/>
            </w:pPr>
            <w:r w:rsidRPr="006F538A">
              <w:t>Reserving Land for Public Purpose</w:t>
            </w:r>
          </w:p>
        </w:tc>
        <w:tc>
          <w:tcPr>
            <w:tcW w:w="4253" w:type="dxa"/>
            <w:shd w:val="clear" w:color="auto" w:fill="auto"/>
          </w:tcPr>
          <w:p w14:paraId="60B948EB" w14:textId="77777777" w:rsidR="006F538A" w:rsidRPr="006F538A" w:rsidRDefault="006F538A" w:rsidP="006F538A">
            <w:pPr>
              <w:spacing w:after="0"/>
              <w:jc w:val="left"/>
            </w:pPr>
            <w:r w:rsidRPr="006F538A">
              <w:t>The objectives of this direction are:</w:t>
            </w:r>
          </w:p>
          <w:p w14:paraId="3F2F4BA5" w14:textId="77777777" w:rsidR="006F538A" w:rsidRPr="006F538A" w:rsidRDefault="006F538A" w:rsidP="002F271A">
            <w:pPr>
              <w:pStyle w:val="Default"/>
              <w:ind w:left="317" w:hanging="284"/>
              <w:rPr>
                <w:sz w:val="22"/>
                <w:szCs w:val="22"/>
              </w:rPr>
            </w:pPr>
            <w:r w:rsidRPr="006F538A">
              <w:rPr>
                <w:sz w:val="22"/>
                <w:szCs w:val="22"/>
              </w:rPr>
              <w:t>(a) to facilitate the provision of public services and facilities by reserving land for public purposes,</w:t>
            </w:r>
            <w:r w:rsidR="002F271A">
              <w:rPr>
                <w:sz w:val="22"/>
                <w:szCs w:val="22"/>
              </w:rPr>
              <w:t xml:space="preserve"> </w:t>
            </w:r>
            <w:r w:rsidRPr="006F538A">
              <w:rPr>
                <w:sz w:val="22"/>
                <w:szCs w:val="22"/>
              </w:rPr>
              <w:t>and</w:t>
            </w:r>
          </w:p>
          <w:p w14:paraId="1475BE7A" w14:textId="77777777" w:rsidR="00FB49AA" w:rsidRPr="006F538A" w:rsidRDefault="006F538A" w:rsidP="006F538A">
            <w:pPr>
              <w:pStyle w:val="Default"/>
              <w:ind w:left="317" w:hanging="284"/>
              <w:rPr>
                <w:sz w:val="22"/>
                <w:szCs w:val="22"/>
              </w:rPr>
            </w:pPr>
            <w:r w:rsidRPr="006F538A">
              <w:rPr>
                <w:sz w:val="22"/>
                <w:szCs w:val="22"/>
              </w:rPr>
              <w:t xml:space="preserve">(b) to facilitate the removal of reservations of land for public </w:t>
            </w:r>
            <w:r w:rsidRPr="006F538A">
              <w:rPr>
                <w:sz w:val="22"/>
                <w:szCs w:val="22"/>
              </w:rPr>
              <w:lastRenderedPageBreak/>
              <w:t>purposes where the land is no longer required for acquisition.</w:t>
            </w:r>
          </w:p>
        </w:tc>
        <w:tc>
          <w:tcPr>
            <w:tcW w:w="3543" w:type="dxa"/>
            <w:shd w:val="clear" w:color="auto" w:fill="auto"/>
          </w:tcPr>
          <w:p w14:paraId="04191761" w14:textId="098EED8A" w:rsidR="00FB49AA" w:rsidRPr="00A56064" w:rsidRDefault="006366C4" w:rsidP="006F538A">
            <w:pPr>
              <w:spacing w:after="0"/>
              <w:jc w:val="left"/>
            </w:pPr>
            <w:r w:rsidRPr="00A56064">
              <w:lastRenderedPageBreak/>
              <w:t xml:space="preserve">Inconsistent. </w:t>
            </w:r>
          </w:p>
          <w:p w14:paraId="4B3B6A6C" w14:textId="77777777" w:rsidR="00D83C8B" w:rsidRPr="00A56064" w:rsidRDefault="00D83C8B" w:rsidP="006F538A">
            <w:pPr>
              <w:spacing w:after="0"/>
              <w:jc w:val="left"/>
            </w:pPr>
          </w:p>
          <w:p w14:paraId="51A29B89" w14:textId="05BE2738" w:rsidR="006366C4" w:rsidRDefault="00A56064" w:rsidP="006F538A">
            <w:pPr>
              <w:spacing w:after="0"/>
              <w:jc w:val="left"/>
            </w:pPr>
            <w:r w:rsidRPr="00A56064">
              <w:t xml:space="preserve">Lots 5 and part </w:t>
            </w:r>
            <w:r w:rsidR="00C511BA">
              <w:t xml:space="preserve">lot </w:t>
            </w:r>
            <w:r w:rsidRPr="00A56064">
              <w:t>7 DP 1140055 have been assessed as surplus to Council</w:t>
            </w:r>
            <w:r w:rsidR="006366C4" w:rsidRPr="00A56064">
              <w:t xml:space="preserve"> requir</w:t>
            </w:r>
            <w:r w:rsidR="003421ED" w:rsidRPr="00A56064">
              <w:t xml:space="preserve">ements. </w:t>
            </w:r>
            <w:r w:rsidR="006366C4" w:rsidRPr="00A56064">
              <w:t xml:space="preserve">The </w:t>
            </w:r>
            <w:r w:rsidRPr="00A56064">
              <w:t>property is not ideally located</w:t>
            </w:r>
            <w:r w:rsidR="006366C4" w:rsidRPr="00A56064">
              <w:t xml:space="preserve"> or </w:t>
            </w:r>
            <w:r w:rsidR="006366C4" w:rsidRPr="00A56064">
              <w:lastRenderedPageBreak/>
              <w:t xml:space="preserve">suited for future open space and recreation purposes in line with future community needs. </w:t>
            </w:r>
          </w:p>
          <w:p w14:paraId="76CBDBDA" w14:textId="77777777" w:rsidR="00C511BA" w:rsidRDefault="00C511BA" w:rsidP="006F538A">
            <w:pPr>
              <w:spacing w:after="0"/>
              <w:jc w:val="left"/>
            </w:pPr>
          </w:p>
          <w:p w14:paraId="2D0A3B08" w14:textId="47F04979" w:rsidR="00C511BA" w:rsidRPr="00A56064" w:rsidRDefault="00C511BA" w:rsidP="006F538A">
            <w:pPr>
              <w:spacing w:after="0"/>
              <w:jc w:val="left"/>
            </w:pPr>
            <w:r>
              <w:t xml:space="preserve">Council on 19 May 2021 (WI30/2021) Council resolved to endorse Booth Park, at </w:t>
            </w:r>
            <w:r w:rsidRPr="00A931F4">
              <w:t xml:space="preserve">37 Hopetoun Street </w:t>
            </w:r>
            <w:r>
              <w:t>Kurri Kurri, as the alternative location for the netball courts.</w:t>
            </w:r>
          </w:p>
          <w:p w14:paraId="24550391" w14:textId="6D0E0FCF" w:rsidR="00D83C8B" w:rsidRDefault="00D83C8B" w:rsidP="006F538A">
            <w:pPr>
              <w:spacing w:after="0"/>
              <w:jc w:val="left"/>
            </w:pPr>
          </w:p>
          <w:p w14:paraId="4F815C27" w14:textId="6B094F64" w:rsidR="00DA63B1" w:rsidRDefault="00DA63B1" w:rsidP="006F538A">
            <w:pPr>
              <w:spacing w:after="0"/>
              <w:jc w:val="left"/>
            </w:pPr>
            <w:r>
              <w:t>Clau</w:t>
            </w:r>
            <w:r w:rsidR="00DD56BC">
              <w:t xml:space="preserve">se 4 of this direction requires approval for the relevant public authority and the Director-General. Council approval has been obtained via Council resolution however approval from the Director General has not yet been sought. </w:t>
            </w:r>
          </w:p>
          <w:p w14:paraId="5F379946" w14:textId="77777777" w:rsidR="00DD56BC" w:rsidRPr="00A56064" w:rsidRDefault="00DD56BC" w:rsidP="006F538A">
            <w:pPr>
              <w:spacing w:after="0"/>
              <w:jc w:val="left"/>
            </w:pPr>
            <w:bookmarkStart w:id="24" w:name="_GoBack"/>
            <w:bookmarkEnd w:id="24"/>
          </w:p>
          <w:p w14:paraId="6635B28E" w14:textId="07192767" w:rsidR="006366C4" w:rsidRPr="00A56064" w:rsidRDefault="00A56064" w:rsidP="006F538A">
            <w:pPr>
              <w:spacing w:after="0"/>
              <w:jc w:val="left"/>
            </w:pPr>
            <w:r w:rsidRPr="00A56064">
              <w:t>The inconsistency with</w:t>
            </w:r>
            <w:r w:rsidR="006366C4" w:rsidRPr="00A56064">
              <w:t xml:space="preserve"> this direction is considered to be of minor significance, in accordance</w:t>
            </w:r>
            <w:r w:rsidR="00DA63B1">
              <w:t xml:space="preserve"> with Clause 8 of this direction</w:t>
            </w:r>
            <w:r w:rsidR="00DD56BC">
              <w:t xml:space="preserve"> and can be resolved through the assessment process</w:t>
            </w:r>
            <w:r w:rsidR="006366C4" w:rsidRPr="00A56064">
              <w:t xml:space="preserve">. </w:t>
            </w:r>
          </w:p>
        </w:tc>
      </w:tr>
      <w:tr w:rsidR="006F538A" w:rsidRPr="006F538A" w14:paraId="6B2DD111" w14:textId="77777777" w:rsidTr="003B1F6D">
        <w:trPr>
          <w:trHeight w:val="283"/>
        </w:trPr>
        <w:tc>
          <w:tcPr>
            <w:tcW w:w="2405" w:type="dxa"/>
            <w:shd w:val="clear" w:color="auto" w:fill="auto"/>
          </w:tcPr>
          <w:p w14:paraId="3CEA2484" w14:textId="77777777" w:rsidR="006F538A" w:rsidRPr="006F538A" w:rsidRDefault="006F538A" w:rsidP="004E63EF">
            <w:pPr>
              <w:pStyle w:val="ListParagraph"/>
              <w:numPr>
                <w:ilvl w:val="1"/>
                <w:numId w:val="9"/>
              </w:numPr>
              <w:spacing w:after="0"/>
              <w:ind w:left="567" w:hanging="567"/>
              <w:jc w:val="left"/>
            </w:pPr>
            <w:r w:rsidRPr="006F538A">
              <w:lastRenderedPageBreak/>
              <w:t>Site Specific Provision</w:t>
            </w:r>
          </w:p>
        </w:tc>
        <w:tc>
          <w:tcPr>
            <w:tcW w:w="4253" w:type="dxa"/>
            <w:shd w:val="clear" w:color="auto" w:fill="auto"/>
          </w:tcPr>
          <w:p w14:paraId="7D87B3EA" w14:textId="77777777" w:rsidR="006F538A" w:rsidRPr="006F538A" w:rsidRDefault="006F538A" w:rsidP="006F538A">
            <w:pPr>
              <w:spacing w:after="0"/>
            </w:pPr>
            <w:r w:rsidRPr="006F538A">
              <w:t>The objective of this direction is to discourage unnecessarily restrictive site specific planning controls.</w:t>
            </w:r>
          </w:p>
        </w:tc>
        <w:tc>
          <w:tcPr>
            <w:tcW w:w="3543" w:type="dxa"/>
            <w:shd w:val="clear" w:color="auto" w:fill="auto"/>
          </w:tcPr>
          <w:p w14:paraId="5A0E21A6" w14:textId="77777777" w:rsidR="006F538A" w:rsidRPr="006F538A" w:rsidRDefault="00A81048" w:rsidP="006F538A">
            <w:pPr>
              <w:spacing w:after="0"/>
              <w:jc w:val="left"/>
            </w:pPr>
            <w:r>
              <w:t>N/A</w:t>
            </w:r>
          </w:p>
        </w:tc>
      </w:tr>
    </w:tbl>
    <w:p w14:paraId="57BA6B5E" w14:textId="3149F77B" w:rsidR="000C459D" w:rsidRPr="004F56A7" w:rsidRDefault="003B62B8" w:rsidP="004665DB">
      <w:pPr>
        <w:pStyle w:val="Heading2"/>
      </w:pPr>
      <w:bookmarkStart w:id="25" w:name="_Toc418240883"/>
      <w:bookmarkStart w:id="26" w:name="_Toc80259529"/>
      <w:r>
        <w:t xml:space="preserve">Section C: </w:t>
      </w:r>
      <w:r w:rsidR="000C459D" w:rsidRPr="004F56A7">
        <w:t>Environmental, Social and Economic Impact</w:t>
      </w:r>
      <w:bookmarkEnd w:id="25"/>
      <w:bookmarkEnd w:id="26"/>
    </w:p>
    <w:p w14:paraId="25B5C819" w14:textId="77777777" w:rsidR="000C459D" w:rsidRPr="00F32E8C" w:rsidRDefault="000C459D" w:rsidP="00A045F7">
      <w:pPr>
        <w:rPr>
          <w:vanish/>
          <w:color w:val="FF0000"/>
        </w:rPr>
      </w:pPr>
      <w:r w:rsidRPr="00F32E8C">
        <w:rPr>
          <w:vanish/>
          <w:color w:val="FF0000"/>
          <w:lang w:eastAsia="en-AU"/>
        </w:rPr>
        <w:t>How has the planning proposal adequately addressed any social and economic effects?</w:t>
      </w:r>
    </w:p>
    <w:p w14:paraId="49CA1D7B" w14:textId="77777777" w:rsidR="000C459D" w:rsidRPr="00573AA1" w:rsidRDefault="000C459D" w:rsidP="006008AA">
      <w:pPr>
        <w:pStyle w:val="Heading3"/>
      </w:pPr>
      <w:bookmarkStart w:id="27" w:name="_Toc80259530"/>
      <w:r w:rsidRPr="00573AA1">
        <w:t>Impact on Threatened Species</w:t>
      </w:r>
      <w:bookmarkEnd w:id="27"/>
    </w:p>
    <w:p w14:paraId="69D9CC93" w14:textId="6D25CCCB" w:rsidR="000C459D" w:rsidRPr="00140510" w:rsidRDefault="00115321" w:rsidP="00A045F7">
      <w:r>
        <w:t>The planning proposal will have no impact on threatened species.</w:t>
      </w:r>
    </w:p>
    <w:p w14:paraId="638A1BE3" w14:textId="78DF9CD3" w:rsidR="000C459D" w:rsidRPr="00140510" w:rsidRDefault="000C459D" w:rsidP="006008AA">
      <w:pPr>
        <w:pStyle w:val="Heading3"/>
      </w:pPr>
      <w:bookmarkStart w:id="28" w:name="_Toc80259531"/>
      <w:r w:rsidRPr="00140510">
        <w:t>Environmental Impact</w:t>
      </w:r>
      <w:bookmarkEnd w:id="28"/>
    </w:p>
    <w:p w14:paraId="445CB04D" w14:textId="11C647C2" w:rsidR="000C459D" w:rsidRDefault="00115321" w:rsidP="00A045F7">
      <w:r>
        <w:t xml:space="preserve">The proposed </w:t>
      </w:r>
      <w:r w:rsidR="002C4F98">
        <w:t>reclassification</w:t>
      </w:r>
      <w:r w:rsidR="00177BE1">
        <w:t xml:space="preserve"> and </w:t>
      </w:r>
      <w:r>
        <w:t>rezoning of Molly Worthington Netball Court site</w:t>
      </w:r>
      <w:r w:rsidR="002C4F98">
        <w:t xml:space="preserve"> </w:t>
      </w:r>
      <w:r>
        <w:t>will</w:t>
      </w:r>
      <w:r w:rsidR="00C820AC">
        <w:t xml:space="preserve"> have minimal environmental impact. </w:t>
      </w:r>
    </w:p>
    <w:p w14:paraId="1F6C227A" w14:textId="77777777" w:rsidR="000C459D" w:rsidRPr="00573AA1" w:rsidRDefault="00F32E8C" w:rsidP="006008AA">
      <w:pPr>
        <w:pStyle w:val="Heading3"/>
      </w:pPr>
      <w:bookmarkStart w:id="29" w:name="_Toc80259532"/>
      <w:r w:rsidRPr="00573AA1">
        <w:t>S</w:t>
      </w:r>
      <w:r w:rsidR="000C459D" w:rsidRPr="00573AA1">
        <w:t>ocial and Economic Impacts</w:t>
      </w:r>
      <w:bookmarkEnd w:id="29"/>
    </w:p>
    <w:p w14:paraId="1F2F7A65" w14:textId="664A356B" w:rsidR="000C459D" w:rsidRPr="00975BCF" w:rsidRDefault="00A56064" w:rsidP="00C511BA">
      <w:r w:rsidRPr="00A56064">
        <w:t xml:space="preserve">Lots 5 and part 7 DP 1140055 have been assessed as surplus to Council requirements. The property is not ideally located or suited for future open space and recreation purposes in line with future community needs. </w:t>
      </w:r>
      <w:bookmarkStart w:id="30" w:name="_Toc418240884"/>
      <w:bookmarkStart w:id="31" w:name="_Toc80259533"/>
      <w:r w:rsidR="00C511BA">
        <w:t xml:space="preserve">Council on 19 May 2021 (WI30/2021) Council resolved to endorse Booth Park, at </w:t>
      </w:r>
      <w:r w:rsidR="00C511BA" w:rsidRPr="00A931F4">
        <w:t xml:space="preserve">37 Hopetoun Street </w:t>
      </w:r>
      <w:r w:rsidR="00C511BA">
        <w:t>Kurri Kurri, as the alternative location for the netball courts</w:t>
      </w:r>
      <w:bookmarkEnd w:id="30"/>
      <w:bookmarkEnd w:id="31"/>
      <w:r w:rsidR="00C511BA">
        <w:t>.</w:t>
      </w:r>
    </w:p>
    <w:p w14:paraId="7B7736DA" w14:textId="77777777" w:rsidR="000C459D" w:rsidRPr="00140510" w:rsidRDefault="000C459D" w:rsidP="006008AA">
      <w:pPr>
        <w:pStyle w:val="Heading3"/>
      </w:pPr>
      <w:bookmarkStart w:id="32" w:name="_Toc80259534"/>
      <w:r w:rsidRPr="00140510">
        <w:t>Adequate Public Infrastructure</w:t>
      </w:r>
      <w:bookmarkEnd w:id="32"/>
    </w:p>
    <w:p w14:paraId="278031F2" w14:textId="435D3014" w:rsidR="000C459D" w:rsidRDefault="005833AF" w:rsidP="00A045F7">
      <w:pPr>
        <w:rPr>
          <w:lang w:eastAsia="en-AU"/>
        </w:rPr>
      </w:pPr>
      <w:r>
        <w:rPr>
          <w:lang w:eastAsia="en-AU"/>
        </w:rPr>
        <w:t xml:space="preserve">The Planning Proposal will not generate demand for additional public infrastructure. </w:t>
      </w:r>
      <w:r w:rsidR="00A56064" w:rsidRPr="00A56064">
        <w:rPr>
          <w:lang w:eastAsia="en-AU"/>
        </w:rPr>
        <w:t xml:space="preserve">Possible sale of the properties by Council following the reclassification process will result in additional funds for investment being available </w:t>
      </w:r>
      <w:r w:rsidR="00A56064">
        <w:rPr>
          <w:lang w:eastAsia="en-AU"/>
        </w:rPr>
        <w:t>to improve</w:t>
      </w:r>
      <w:r w:rsidR="00A56064" w:rsidRPr="00A56064">
        <w:rPr>
          <w:lang w:eastAsia="en-AU"/>
        </w:rPr>
        <w:t xml:space="preserve"> recreation and other facilities in the </w:t>
      </w:r>
      <w:r w:rsidR="00A56064" w:rsidRPr="001C5F51">
        <w:rPr>
          <w:lang w:eastAsia="en-AU"/>
        </w:rPr>
        <w:t>region</w:t>
      </w:r>
      <w:r w:rsidR="00F67392" w:rsidRPr="001C5F51">
        <w:rPr>
          <w:lang w:eastAsia="en-AU"/>
        </w:rPr>
        <w:t xml:space="preserve">. </w:t>
      </w:r>
      <w:r w:rsidR="001C5F51" w:rsidRPr="001C5F51">
        <w:rPr>
          <w:lang w:eastAsia="en-AU"/>
        </w:rPr>
        <w:t>Future</w:t>
      </w:r>
      <w:r w:rsidR="00F67392" w:rsidRPr="001C5F51">
        <w:rPr>
          <w:lang w:eastAsia="en-AU"/>
        </w:rPr>
        <w:t xml:space="preserve"> development on these sites will al</w:t>
      </w:r>
      <w:r w:rsidR="001C5F51" w:rsidRPr="001C5F51">
        <w:rPr>
          <w:lang w:eastAsia="en-AU"/>
        </w:rPr>
        <w:t xml:space="preserve">low for </w:t>
      </w:r>
      <w:r w:rsidR="00F67392" w:rsidRPr="001C5F51">
        <w:rPr>
          <w:lang w:eastAsia="en-AU"/>
        </w:rPr>
        <w:t xml:space="preserve">infill development in the </w:t>
      </w:r>
      <w:r w:rsidRPr="001C5F51">
        <w:rPr>
          <w:lang w:eastAsia="en-AU"/>
        </w:rPr>
        <w:t>region</w:t>
      </w:r>
      <w:r w:rsidR="00F67392" w:rsidRPr="001C5F51">
        <w:rPr>
          <w:lang w:eastAsia="en-AU"/>
        </w:rPr>
        <w:t xml:space="preserve"> which can be serviced through existing infrastructure.</w:t>
      </w:r>
      <w:r w:rsidR="00F67392">
        <w:rPr>
          <w:lang w:eastAsia="en-AU"/>
        </w:rPr>
        <w:t xml:space="preserve"> </w:t>
      </w:r>
    </w:p>
    <w:p w14:paraId="7C08E85A" w14:textId="77777777" w:rsidR="000C459D" w:rsidRPr="00140510" w:rsidRDefault="000C459D" w:rsidP="006008AA">
      <w:pPr>
        <w:pStyle w:val="Heading3"/>
      </w:pPr>
      <w:bookmarkStart w:id="33" w:name="_Toc80259535"/>
      <w:r w:rsidRPr="00140510">
        <w:lastRenderedPageBreak/>
        <w:t>Consultation with State and Commonwealth Authorities</w:t>
      </w:r>
      <w:bookmarkEnd w:id="33"/>
    </w:p>
    <w:p w14:paraId="5324652F" w14:textId="78FF4350" w:rsidR="007C2C38" w:rsidRDefault="00F67392" w:rsidP="00A56064">
      <w:pPr>
        <w:rPr>
          <w:lang w:eastAsia="en-AU"/>
        </w:rPr>
      </w:pPr>
      <w:r>
        <w:rPr>
          <w:lang w:eastAsia="en-AU"/>
        </w:rPr>
        <w:t>Consultation with State and Commonwealth public authorities will be undertaken in accordance with the Gateway determination.</w:t>
      </w:r>
      <w:r w:rsidRPr="00250487">
        <w:rPr>
          <w:lang w:eastAsia="en-AU"/>
        </w:rPr>
        <w:t xml:space="preserve"> </w:t>
      </w:r>
    </w:p>
    <w:p w14:paraId="49610E15" w14:textId="77777777" w:rsidR="00DC19F0" w:rsidRPr="00C64E6D" w:rsidRDefault="00DC19F0" w:rsidP="008D05E3">
      <w:pPr>
        <w:pStyle w:val="Heading1"/>
        <w:rPr>
          <w:bCs/>
        </w:rPr>
      </w:pPr>
      <w:r>
        <w:br w:type="page"/>
      </w:r>
      <w:bookmarkStart w:id="34" w:name="_Toc418240885"/>
      <w:bookmarkStart w:id="35" w:name="_Toc80259536"/>
      <w:r w:rsidR="00BE7AC0">
        <w:lastRenderedPageBreak/>
        <w:t>Part</w:t>
      </w:r>
      <w:r w:rsidRPr="00C64E6D">
        <w:t xml:space="preserve"> </w:t>
      </w:r>
      <w:r>
        <w:t>4</w:t>
      </w:r>
      <w:r w:rsidRPr="00C64E6D">
        <w:t>:</w:t>
      </w:r>
      <w:bookmarkEnd w:id="34"/>
      <w:r w:rsidR="00BE7AC0">
        <w:t xml:space="preserve"> Mapping</w:t>
      </w:r>
      <w:bookmarkEnd w:id="35"/>
    </w:p>
    <w:p w14:paraId="2ED7A1D0" w14:textId="39C3A005" w:rsidR="00295BCE" w:rsidRDefault="00295BCE" w:rsidP="00F2592E">
      <w:pPr>
        <w:autoSpaceDE/>
        <w:autoSpaceDN/>
        <w:adjustRightInd/>
        <w:spacing w:after="0"/>
        <w:jc w:val="left"/>
      </w:pPr>
      <w:r>
        <w:t xml:space="preserve">The intended outcomes relate to amendments to the Cessnock LEP 2011. The Planning Proposal seeks to reclassify </w:t>
      </w:r>
      <w:r w:rsidRPr="004061BA">
        <w:t xml:space="preserve">101 </w:t>
      </w:r>
      <w:r>
        <w:t xml:space="preserve">Maitland Street </w:t>
      </w:r>
      <w:r w:rsidRPr="004061BA">
        <w:t xml:space="preserve">and </w:t>
      </w:r>
      <w:r>
        <w:t xml:space="preserve">part of </w:t>
      </w:r>
      <w:r w:rsidRPr="004061BA">
        <w:t xml:space="preserve">107 </w:t>
      </w:r>
      <w:r>
        <w:t>Lang Street</w:t>
      </w:r>
      <w:r w:rsidRPr="004061BA">
        <w:t xml:space="preserve"> </w:t>
      </w:r>
      <w:r>
        <w:t xml:space="preserve">Kurri Kurri </w:t>
      </w:r>
      <w:r>
        <w:rPr>
          <w:lang w:eastAsia="en-AU"/>
        </w:rPr>
        <w:t>from “Community” to “Operational”</w:t>
      </w:r>
      <w:r>
        <w:t>.</w:t>
      </w:r>
    </w:p>
    <w:p w14:paraId="193C4F87" w14:textId="77777777" w:rsidR="00295BCE" w:rsidRDefault="00295BCE" w:rsidP="00F2592E">
      <w:pPr>
        <w:autoSpaceDE/>
        <w:autoSpaceDN/>
        <w:adjustRightInd/>
        <w:spacing w:after="0"/>
        <w:jc w:val="left"/>
      </w:pPr>
    </w:p>
    <w:p w14:paraId="6FBA5867" w14:textId="4185388F" w:rsidR="00A56064" w:rsidRDefault="001C5F51" w:rsidP="00F2592E">
      <w:pPr>
        <w:autoSpaceDE/>
        <w:autoSpaceDN/>
        <w:adjustRightInd/>
        <w:spacing w:after="0"/>
        <w:jc w:val="left"/>
        <w:rPr>
          <w:lang w:eastAsia="en-AU"/>
        </w:rPr>
      </w:pPr>
      <w:r>
        <w:t>The Planning Proposal will not require any map amendments.</w:t>
      </w:r>
    </w:p>
    <w:p w14:paraId="2AB7F86C" w14:textId="0CF7C319" w:rsidR="003F0E25" w:rsidRDefault="003F0E25" w:rsidP="00295BCE">
      <w:pPr>
        <w:rPr>
          <w:lang w:eastAsia="en-AU"/>
        </w:rPr>
      </w:pPr>
    </w:p>
    <w:p w14:paraId="2B6620DC" w14:textId="25D73A11" w:rsidR="000C459D" w:rsidRPr="00DC19F0" w:rsidRDefault="00BE7AC0" w:rsidP="008D05E3">
      <w:pPr>
        <w:pStyle w:val="Heading1"/>
      </w:pPr>
      <w:bookmarkStart w:id="36" w:name="_Toc297711144"/>
      <w:bookmarkStart w:id="37" w:name="_Toc298420628"/>
      <w:bookmarkStart w:id="38" w:name="_Toc418240886"/>
      <w:bookmarkStart w:id="39" w:name="_Toc80259537"/>
      <w:r>
        <w:t>Part</w:t>
      </w:r>
      <w:r w:rsidR="000C459D" w:rsidRPr="00C64E6D">
        <w:t xml:space="preserve"> </w:t>
      </w:r>
      <w:r w:rsidR="00F42EC8">
        <w:t>5</w:t>
      </w:r>
      <w:r w:rsidR="000C459D" w:rsidRPr="00C64E6D">
        <w:t>:</w:t>
      </w:r>
      <w:r w:rsidR="000C459D" w:rsidRPr="00C64E6D">
        <w:tab/>
      </w:r>
      <w:r>
        <w:t>Community Consultation</w:t>
      </w:r>
      <w:bookmarkEnd w:id="36"/>
      <w:bookmarkEnd w:id="37"/>
      <w:bookmarkEnd w:id="38"/>
      <w:bookmarkEnd w:id="39"/>
    </w:p>
    <w:p w14:paraId="08075A9D" w14:textId="77777777" w:rsidR="000C459D" w:rsidRPr="004665DB" w:rsidRDefault="000C459D" w:rsidP="003B1F6D">
      <w:pPr>
        <w:rPr>
          <w:vanish/>
          <w:color w:val="FF0000"/>
          <w:lang w:eastAsia="en-AU"/>
        </w:rPr>
      </w:pPr>
      <w:r w:rsidRPr="004665DB">
        <w:rPr>
          <w:vanish/>
          <w:color w:val="FF0000"/>
          <w:lang w:eastAsia="en-AU"/>
        </w:rPr>
        <w:t>This part of the planning proposal should outline the community consultation that is to be undertaken in respect of the proposal, having regard the requirements set out in the guide.</w:t>
      </w:r>
    </w:p>
    <w:p w14:paraId="1D2BDF7A" w14:textId="5BEECF6E" w:rsidR="000C459D" w:rsidRDefault="0009346D" w:rsidP="003B1F6D">
      <w:pPr>
        <w:spacing w:after="0"/>
        <w:rPr>
          <w:lang w:eastAsia="en-AU"/>
        </w:rPr>
      </w:pPr>
      <w:r w:rsidRPr="0009346D">
        <w:rPr>
          <w:lang w:eastAsia="en-AU"/>
        </w:rPr>
        <w:t>Community</w:t>
      </w:r>
      <w:r w:rsidR="003B1F6D">
        <w:rPr>
          <w:lang w:eastAsia="en-AU"/>
        </w:rPr>
        <w:t xml:space="preserve"> and agency</w:t>
      </w:r>
      <w:r w:rsidRPr="0009346D">
        <w:rPr>
          <w:lang w:eastAsia="en-AU"/>
        </w:rPr>
        <w:t xml:space="preserve"> consultation will be undertaken </w:t>
      </w:r>
      <w:r w:rsidR="003B1F6D">
        <w:rPr>
          <w:lang w:eastAsia="en-AU"/>
        </w:rPr>
        <w:t>in accordance with</w:t>
      </w:r>
      <w:r w:rsidRPr="0009346D">
        <w:rPr>
          <w:lang w:eastAsia="en-AU"/>
        </w:rPr>
        <w:t xml:space="preserve"> the conditions of the Gateway</w:t>
      </w:r>
      <w:r w:rsidR="005833AF">
        <w:rPr>
          <w:lang w:eastAsia="en-AU"/>
        </w:rPr>
        <w:t xml:space="preserve"> </w:t>
      </w:r>
      <w:r w:rsidRPr="0009346D">
        <w:rPr>
          <w:lang w:eastAsia="en-AU"/>
        </w:rPr>
        <w:t xml:space="preserve">determination. </w:t>
      </w:r>
    </w:p>
    <w:p w14:paraId="7B75B774" w14:textId="77777777" w:rsidR="003B1F6D" w:rsidRDefault="003B1F6D" w:rsidP="003B1F6D">
      <w:pPr>
        <w:spacing w:after="0"/>
      </w:pPr>
    </w:p>
    <w:p w14:paraId="045F789C" w14:textId="3E4B36B6" w:rsidR="00207BD2" w:rsidRDefault="00207BD2" w:rsidP="00207BD2">
      <w:r>
        <w:t>I</w:t>
      </w:r>
      <w:r w:rsidR="003B1F6D">
        <w:t>n accordance</w:t>
      </w:r>
      <w:r>
        <w:t xml:space="preserve"> with the requirements for the reclassification of land from </w:t>
      </w:r>
      <w:r w:rsidR="00295BCE">
        <w:t>“C</w:t>
      </w:r>
      <w:r>
        <w:t>ommunity</w:t>
      </w:r>
      <w:r w:rsidR="00295BCE">
        <w:t>”</w:t>
      </w:r>
      <w:r>
        <w:t xml:space="preserve"> to </w:t>
      </w:r>
      <w:r w:rsidR="00295BCE">
        <w:t>“O</w:t>
      </w:r>
      <w:r>
        <w:t>perational</w:t>
      </w:r>
      <w:r w:rsidR="00295BCE">
        <w:t>”</w:t>
      </w:r>
      <w:r>
        <w:t>, a public hearing will be held (EP</w:t>
      </w:r>
      <w:r w:rsidR="0076740F">
        <w:t>&amp;A Act s3.34 &amp; Local Government Act s</w:t>
      </w:r>
      <w:r>
        <w:t>29) following the</w:t>
      </w:r>
      <w:r w:rsidR="00AA38CD">
        <w:t xml:space="preserve"> completion of the public exhibition. An independent facilitator will undertake the public hearing and 21 days’ notice of the hearing will be given after completion of the public exhibition period. The reclassification process will be undertaken consistent with th</w:t>
      </w:r>
      <w:r w:rsidR="00ED3581">
        <w:t>e L</w:t>
      </w:r>
      <w:r w:rsidR="007C5619">
        <w:t>EP Practice Note PN 16-001 “</w:t>
      </w:r>
      <w:r w:rsidR="00AA38CD">
        <w:t xml:space="preserve">Classification and reclassification of public land through a local </w:t>
      </w:r>
      <w:r w:rsidR="007C5619">
        <w:t xml:space="preserve">environmental plan”. </w:t>
      </w:r>
    </w:p>
    <w:p w14:paraId="5DA2B9DC" w14:textId="27BA4CA2" w:rsidR="00F42EC8" w:rsidRPr="00C64E6D" w:rsidRDefault="00BE7AC0" w:rsidP="008D05E3">
      <w:pPr>
        <w:pStyle w:val="Heading1"/>
        <w:rPr>
          <w:bCs/>
        </w:rPr>
      </w:pPr>
      <w:bookmarkStart w:id="40" w:name="_Toc418240887"/>
      <w:bookmarkStart w:id="41" w:name="_Toc80259538"/>
      <w:r>
        <w:t>Part</w:t>
      </w:r>
      <w:r w:rsidR="00F42EC8" w:rsidRPr="00C64E6D">
        <w:t xml:space="preserve"> </w:t>
      </w:r>
      <w:r w:rsidR="00F42EC8">
        <w:t>6</w:t>
      </w:r>
      <w:r w:rsidR="00F42EC8" w:rsidRPr="00C64E6D">
        <w:t>:</w:t>
      </w:r>
      <w:r w:rsidR="00F42EC8" w:rsidRPr="00C64E6D">
        <w:tab/>
      </w:r>
      <w:r>
        <w:t>Project</w:t>
      </w:r>
      <w:r w:rsidR="003F4EBF">
        <w:t xml:space="preserve"> </w:t>
      </w:r>
      <w:bookmarkEnd w:id="40"/>
      <w:r>
        <w:t>Timeline</w:t>
      </w:r>
      <w:bookmarkEnd w:id="41"/>
    </w:p>
    <w:p w14:paraId="46C107CF" w14:textId="77777777" w:rsidR="00B42A9D" w:rsidRPr="004665DB" w:rsidRDefault="003F4EBF" w:rsidP="00A045F7">
      <w:pPr>
        <w:rPr>
          <w:vanish/>
          <w:color w:val="FF0000"/>
          <w:lang w:eastAsia="en-AU"/>
        </w:rPr>
      </w:pPr>
      <w:r w:rsidRPr="004665DB">
        <w:rPr>
          <w:vanish/>
          <w:color w:val="FF0000"/>
          <w:lang w:eastAsia="en-AU"/>
        </w:rPr>
        <w:t>The project timeline is to assis</w:t>
      </w:r>
      <w:r w:rsidR="004665DB">
        <w:rPr>
          <w:vanish/>
          <w:color w:val="FF0000"/>
          <w:lang w:eastAsia="en-AU"/>
        </w:rPr>
        <w:t>t</w:t>
      </w:r>
      <w:r w:rsidRPr="004665DB">
        <w:rPr>
          <w:vanish/>
          <w:color w:val="FF0000"/>
          <w:lang w:eastAsia="en-AU"/>
        </w:rPr>
        <w:t xml:space="preserve"> with tracking the progress of the Planning Proposal through the various stages of the consultation and approval process.  A completion date is to be added.</w:t>
      </w:r>
    </w:p>
    <w:p w14:paraId="34A61BAF" w14:textId="3F37DC60" w:rsidR="00E5380B" w:rsidRDefault="00E5380B" w:rsidP="00E54DC4">
      <w:pPr>
        <w:spacing w:after="0"/>
        <w:jc w:val="left"/>
        <w:rPr>
          <w:lang w:eastAsia="en-AU"/>
        </w:rPr>
      </w:pPr>
      <w:r>
        <w:rPr>
          <w:lang w:eastAsia="en-AU"/>
        </w:rPr>
        <w:t xml:space="preserve">It is estimated that the proposed amendment to the LEP will be completed by </w:t>
      </w:r>
      <w:r w:rsidR="00036826">
        <w:rPr>
          <w:lang w:eastAsia="en-AU"/>
        </w:rPr>
        <w:t>May</w:t>
      </w:r>
      <w:r w:rsidR="00E54DC4">
        <w:rPr>
          <w:lang w:eastAsia="en-AU"/>
        </w:rPr>
        <w:t xml:space="preserve"> </w:t>
      </w:r>
      <w:r>
        <w:rPr>
          <w:lang w:eastAsia="en-AU"/>
        </w:rPr>
        <w:t>202</w:t>
      </w:r>
      <w:r w:rsidR="00C511BA">
        <w:rPr>
          <w:lang w:eastAsia="en-AU"/>
        </w:rPr>
        <w:t>2</w:t>
      </w:r>
      <w:r>
        <w:rPr>
          <w:lang w:eastAsia="en-AU"/>
        </w:rPr>
        <w:t>, following receipt of a Gateway determination from the Department of Planning,</w:t>
      </w:r>
      <w:r w:rsidR="00E54DC4">
        <w:rPr>
          <w:lang w:eastAsia="en-AU"/>
        </w:rPr>
        <w:t xml:space="preserve"> </w:t>
      </w:r>
      <w:r>
        <w:rPr>
          <w:lang w:eastAsia="en-AU"/>
        </w:rPr>
        <w:t xml:space="preserve">Industry and Environment. </w:t>
      </w:r>
      <w:r w:rsidR="00036826">
        <w:rPr>
          <w:lang w:eastAsia="en-AU"/>
        </w:rPr>
        <w:t xml:space="preserve">Additional time has been added to the timeline taking into consideration the Christmas period and scheduling of Council meetings. </w:t>
      </w:r>
    </w:p>
    <w:p w14:paraId="679BCDBD" w14:textId="77777777" w:rsidR="00E54DC4" w:rsidRDefault="00E54DC4" w:rsidP="00E54DC4">
      <w:pPr>
        <w:spacing w:after="0"/>
        <w:jc w:val="left"/>
        <w:rPr>
          <w:lang w:eastAsia="en-AU"/>
        </w:rPr>
      </w:pPr>
    </w:p>
    <w:p w14:paraId="0FE8F3BB" w14:textId="7076038B" w:rsidR="00F42EC8" w:rsidRDefault="00E5380B" w:rsidP="00E5380B">
      <w:r w:rsidRPr="00E5380B">
        <w:t>Technical studies have not been identified as a component of the Planning Proposal. If</w:t>
      </w:r>
      <w:r>
        <w:t xml:space="preserve"> </w:t>
      </w:r>
      <w:r w:rsidRPr="00E5380B">
        <w:t>the DP</w:t>
      </w:r>
      <w:r>
        <w:t>I</w:t>
      </w:r>
      <w:r w:rsidRPr="00E5380B">
        <w:t>E Gateway determination makes prescriptions relating to technical studies, this</w:t>
      </w:r>
      <w:r>
        <w:t xml:space="preserve"> </w:t>
      </w:r>
      <w:r w:rsidRPr="00E5380B">
        <w:t>may impact the estimated completion date.</w:t>
      </w:r>
    </w:p>
    <w:p w14:paraId="0065CE9F" w14:textId="2D3F1C03" w:rsidR="00E5380B" w:rsidRDefault="00E5380B" w:rsidP="00E5380B">
      <w:r>
        <w:t xml:space="preserve">It is noted that Council’s last reclassification amendment to the Cessnock Local Environmental Plan 2011 took closer to 18 months to complete. </w:t>
      </w:r>
    </w:p>
    <w:p w14:paraId="692271A9" w14:textId="062DC15C" w:rsidR="00E5380B" w:rsidRDefault="00E5380B" w:rsidP="00E5380B">
      <w:pPr>
        <w:rPr>
          <w:b/>
        </w:rPr>
      </w:pPr>
      <w:r w:rsidRPr="00E5380B">
        <w:rPr>
          <w:b/>
        </w:rPr>
        <w:t>Project Timeline</w:t>
      </w:r>
    </w:p>
    <w:tbl>
      <w:tblPr>
        <w:tblStyle w:val="TableGrid"/>
        <w:tblW w:w="10420" w:type="dxa"/>
        <w:tblLook w:val="04A0" w:firstRow="1" w:lastRow="0" w:firstColumn="1" w:lastColumn="0" w:noHBand="0" w:noVBand="1"/>
      </w:tblPr>
      <w:tblGrid>
        <w:gridCol w:w="3725"/>
        <w:gridCol w:w="617"/>
        <w:gridCol w:w="676"/>
        <w:gridCol w:w="617"/>
        <w:gridCol w:w="677"/>
        <w:gridCol w:w="617"/>
        <w:gridCol w:w="617"/>
        <w:gridCol w:w="633"/>
        <w:gridCol w:w="747"/>
        <w:gridCol w:w="747"/>
        <w:gridCol w:w="747"/>
      </w:tblGrid>
      <w:tr w:rsidR="00036826" w:rsidRPr="00CA7125" w14:paraId="5A75FF6F" w14:textId="3BBE23FC" w:rsidTr="00036826">
        <w:tc>
          <w:tcPr>
            <w:tcW w:w="3725" w:type="dxa"/>
          </w:tcPr>
          <w:p w14:paraId="6604A05B" w14:textId="77777777" w:rsidR="00036826" w:rsidRPr="00CA7125" w:rsidRDefault="00036826" w:rsidP="00E5644D">
            <w:pPr>
              <w:spacing w:after="0"/>
              <w:rPr>
                <w:b/>
                <w:sz w:val="18"/>
                <w:szCs w:val="18"/>
              </w:rPr>
            </w:pPr>
          </w:p>
        </w:tc>
        <w:tc>
          <w:tcPr>
            <w:tcW w:w="617" w:type="dxa"/>
          </w:tcPr>
          <w:p w14:paraId="4BBA92E2" w14:textId="48E502D8" w:rsidR="00036826" w:rsidRPr="00CA7125" w:rsidRDefault="00036826" w:rsidP="00F2592E">
            <w:pPr>
              <w:spacing w:after="0"/>
              <w:rPr>
                <w:b/>
                <w:sz w:val="18"/>
                <w:szCs w:val="18"/>
              </w:rPr>
            </w:pPr>
            <w:r w:rsidRPr="00CA7125">
              <w:rPr>
                <w:b/>
                <w:sz w:val="18"/>
                <w:szCs w:val="18"/>
              </w:rPr>
              <w:t>Aug 202</w:t>
            </w:r>
            <w:r>
              <w:rPr>
                <w:b/>
                <w:sz w:val="18"/>
                <w:szCs w:val="18"/>
              </w:rPr>
              <w:t>1</w:t>
            </w:r>
          </w:p>
        </w:tc>
        <w:tc>
          <w:tcPr>
            <w:tcW w:w="676" w:type="dxa"/>
          </w:tcPr>
          <w:p w14:paraId="4FA1BD5F" w14:textId="2E49C34A" w:rsidR="00036826" w:rsidRPr="00CA7125" w:rsidRDefault="00036826" w:rsidP="00F2592E">
            <w:pPr>
              <w:spacing w:after="0"/>
              <w:rPr>
                <w:b/>
                <w:sz w:val="18"/>
                <w:szCs w:val="18"/>
              </w:rPr>
            </w:pPr>
            <w:r w:rsidRPr="00CA7125">
              <w:rPr>
                <w:b/>
                <w:sz w:val="18"/>
                <w:szCs w:val="18"/>
              </w:rPr>
              <w:t>Sept 202</w:t>
            </w:r>
            <w:r>
              <w:rPr>
                <w:b/>
                <w:sz w:val="18"/>
                <w:szCs w:val="18"/>
              </w:rPr>
              <w:t>1</w:t>
            </w:r>
          </w:p>
        </w:tc>
        <w:tc>
          <w:tcPr>
            <w:tcW w:w="617" w:type="dxa"/>
          </w:tcPr>
          <w:p w14:paraId="0AEAB41D" w14:textId="27BF8349" w:rsidR="00036826" w:rsidRPr="00CA7125" w:rsidRDefault="00036826" w:rsidP="00F2592E">
            <w:pPr>
              <w:spacing w:after="0"/>
              <w:rPr>
                <w:b/>
                <w:sz w:val="18"/>
                <w:szCs w:val="18"/>
              </w:rPr>
            </w:pPr>
            <w:r w:rsidRPr="00CA7125">
              <w:rPr>
                <w:b/>
                <w:sz w:val="18"/>
                <w:szCs w:val="18"/>
              </w:rPr>
              <w:t>Oct 202</w:t>
            </w:r>
            <w:r>
              <w:rPr>
                <w:b/>
                <w:sz w:val="18"/>
                <w:szCs w:val="18"/>
              </w:rPr>
              <w:t>1</w:t>
            </w:r>
          </w:p>
        </w:tc>
        <w:tc>
          <w:tcPr>
            <w:tcW w:w="677" w:type="dxa"/>
          </w:tcPr>
          <w:p w14:paraId="690C84C4" w14:textId="17AE934E" w:rsidR="00036826" w:rsidRPr="00CA7125" w:rsidRDefault="00036826" w:rsidP="00F2592E">
            <w:pPr>
              <w:spacing w:after="0"/>
              <w:rPr>
                <w:b/>
                <w:sz w:val="18"/>
                <w:szCs w:val="18"/>
              </w:rPr>
            </w:pPr>
            <w:r w:rsidRPr="00CA7125">
              <w:rPr>
                <w:b/>
                <w:sz w:val="18"/>
                <w:szCs w:val="18"/>
              </w:rPr>
              <w:t>Nov 202</w:t>
            </w:r>
            <w:r>
              <w:rPr>
                <w:b/>
                <w:sz w:val="18"/>
                <w:szCs w:val="18"/>
              </w:rPr>
              <w:t>1</w:t>
            </w:r>
          </w:p>
        </w:tc>
        <w:tc>
          <w:tcPr>
            <w:tcW w:w="617" w:type="dxa"/>
          </w:tcPr>
          <w:p w14:paraId="204E30F1" w14:textId="0293D062" w:rsidR="00036826" w:rsidRPr="00CA7125" w:rsidRDefault="00036826" w:rsidP="00F2592E">
            <w:pPr>
              <w:spacing w:after="0"/>
              <w:rPr>
                <w:b/>
                <w:sz w:val="18"/>
                <w:szCs w:val="18"/>
              </w:rPr>
            </w:pPr>
            <w:r w:rsidRPr="00CA7125">
              <w:rPr>
                <w:b/>
                <w:sz w:val="18"/>
                <w:szCs w:val="18"/>
              </w:rPr>
              <w:t>Dec 202</w:t>
            </w:r>
            <w:r>
              <w:rPr>
                <w:b/>
                <w:sz w:val="18"/>
                <w:szCs w:val="18"/>
              </w:rPr>
              <w:t>1</w:t>
            </w:r>
          </w:p>
        </w:tc>
        <w:tc>
          <w:tcPr>
            <w:tcW w:w="617" w:type="dxa"/>
          </w:tcPr>
          <w:p w14:paraId="72B849F1" w14:textId="671E9924" w:rsidR="00036826" w:rsidRPr="00CA7125" w:rsidRDefault="00036826" w:rsidP="00F2592E">
            <w:pPr>
              <w:spacing w:after="0"/>
              <w:rPr>
                <w:b/>
                <w:sz w:val="18"/>
                <w:szCs w:val="18"/>
              </w:rPr>
            </w:pPr>
            <w:r w:rsidRPr="00CA7125">
              <w:rPr>
                <w:b/>
                <w:sz w:val="18"/>
                <w:szCs w:val="18"/>
              </w:rPr>
              <w:t>Jan 202</w:t>
            </w:r>
            <w:r>
              <w:rPr>
                <w:b/>
                <w:sz w:val="18"/>
                <w:szCs w:val="18"/>
              </w:rPr>
              <w:t>2</w:t>
            </w:r>
          </w:p>
        </w:tc>
        <w:tc>
          <w:tcPr>
            <w:tcW w:w="633" w:type="dxa"/>
          </w:tcPr>
          <w:p w14:paraId="22F98BD4" w14:textId="0175B210" w:rsidR="00036826" w:rsidRPr="00CA7125" w:rsidRDefault="00036826" w:rsidP="00F2592E">
            <w:pPr>
              <w:spacing w:after="0"/>
              <w:rPr>
                <w:b/>
                <w:sz w:val="18"/>
                <w:szCs w:val="18"/>
              </w:rPr>
            </w:pPr>
            <w:r w:rsidRPr="00CA7125">
              <w:rPr>
                <w:b/>
                <w:sz w:val="18"/>
                <w:szCs w:val="18"/>
              </w:rPr>
              <w:t>Feb 202</w:t>
            </w:r>
            <w:r>
              <w:rPr>
                <w:b/>
                <w:sz w:val="18"/>
                <w:szCs w:val="18"/>
              </w:rPr>
              <w:t>2</w:t>
            </w:r>
          </w:p>
        </w:tc>
        <w:tc>
          <w:tcPr>
            <w:tcW w:w="747" w:type="dxa"/>
          </w:tcPr>
          <w:p w14:paraId="4B2EED94" w14:textId="0934EADB" w:rsidR="00036826" w:rsidRPr="00CA7125" w:rsidRDefault="00036826" w:rsidP="00F2592E">
            <w:pPr>
              <w:spacing w:after="0"/>
              <w:rPr>
                <w:b/>
                <w:sz w:val="18"/>
                <w:szCs w:val="18"/>
              </w:rPr>
            </w:pPr>
            <w:r>
              <w:rPr>
                <w:b/>
                <w:sz w:val="18"/>
                <w:szCs w:val="18"/>
              </w:rPr>
              <w:t>March 2022</w:t>
            </w:r>
          </w:p>
        </w:tc>
        <w:tc>
          <w:tcPr>
            <w:tcW w:w="747" w:type="dxa"/>
          </w:tcPr>
          <w:p w14:paraId="0C42AAE4" w14:textId="1E5A9CB3" w:rsidR="00036826" w:rsidRDefault="00036826" w:rsidP="00F2592E">
            <w:pPr>
              <w:spacing w:after="0"/>
              <w:rPr>
                <w:b/>
                <w:sz w:val="18"/>
                <w:szCs w:val="18"/>
              </w:rPr>
            </w:pPr>
            <w:r>
              <w:rPr>
                <w:b/>
                <w:sz w:val="18"/>
                <w:szCs w:val="18"/>
              </w:rPr>
              <w:t>April 2022</w:t>
            </w:r>
          </w:p>
        </w:tc>
        <w:tc>
          <w:tcPr>
            <w:tcW w:w="747" w:type="dxa"/>
          </w:tcPr>
          <w:p w14:paraId="08774FDB" w14:textId="682FEC49" w:rsidR="00036826" w:rsidRDefault="00036826" w:rsidP="00F2592E">
            <w:pPr>
              <w:spacing w:after="0"/>
              <w:rPr>
                <w:b/>
                <w:sz w:val="18"/>
                <w:szCs w:val="18"/>
              </w:rPr>
            </w:pPr>
            <w:r>
              <w:rPr>
                <w:b/>
                <w:sz w:val="18"/>
                <w:szCs w:val="18"/>
              </w:rPr>
              <w:t>May 2022</w:t>
            </w:r>
          </w:p>
        </w:tc>
      </w:tr>
      <w:tr w:rsidR="00036826" w:rsidRPr="00CA7125" w14:paraId="5E069484" w14:textId="643F437F" w:rsidTr="00036826">
        <w:trPr>
          <w:trHeight w:val="240"/>
        </w:trPr>
        <w:tc>
          <w:tcPr>
            <w:tcW w:w="3725" w:type="dxa"/>
          </w:tcPr>
          <w:p w14:paraId="303E1F44" w14:textId="49335629" w:rsidR="00036826" w:rsidRPr="00CA7125" w:rsidRDefault="00036826" w:rsidP="00E5644D">
            <w:pPr>
              <w:spacing w:after="0"/>
              <w:jc w:val="left"/>
              <w:rPr>
                <w:sz w:val="18"/>
                <w:szCs w:val="18"/>
              </w:rPr>
            </w:pPr>
            <w:r w:rsidRPr="00CA7125">
              <w:rPr>
                <w:b/>
                <w:sz w:val="18"/>
                <w:szCs w:val="18"/>
              </w:rPr>
              <w:t xml:space="preserve">STAGE </w:t>
            </w:r>
            <w:r>
              <w:rPr>
                <w:b/>
                <w:sz w:val="18"/>
                <w:szCs w:val="18"/>
              </w:rPr>
              <w:t>1</w:t>
            </w:r>
            <w:r w:rsidRPr="00CA7125">
              <w:rPr>
                <w:b/>
                <w:sz w:val="18"/>
                <w:szCs w:val="18"/>
              </w:rPr>
              <w:t>:</w:t>
            </w:r>
          </w:p>
          <w:p w14:paraId="4A2523FD" w14:textId="0B2BF40C" w:rsidR="00036826" w:rsidRPr="00CA7125" w:rsidRDefault="00036826" w:rsidP="00E5644D">
            <w:pPr>
              <w:spacing w:after="0"/>
              <w:jc w:val="left"/>
              <w:rPr>
                <w:sz w:val="18"/>
                <w:szCs w:val="18"/>
              </w:rPr>
            </w:pPr>
            <w:r w:rsidRPr="00CA7125">
              <w:rPr>
                <w:sz w:val="18"/>
                <w:szCs w:val="18"/>
              </w:rPr>
              <w:t>Submit to DPIE – Gateway Panel consider Planning Proposal.</w:t>
            </w:r>
          </w:p>
        </w:tc>
        <w:tc>
          <w:tcPr>
            <w:tcW w:w="617" w:type="dxa"/>
            <w:shd w:val="clear" w:color="auto" w:fill="000000" w:themeFill="text1"/>
          </w:tcPr>
          <w:p w14:paraId="46ED4E01" w14:textId="77777777" w:rsidR="00036826" w:rsidRPr="00CA7125" w:rsidRDefault="00036826" w:rsidP="00E5644D">
            <w:pPr>
              <w:spacing w:after="0"/>
              <w:rPr>
                <w:b/>
                <w:sz w:val="18"/>
                <w:szCs w:val="18"/>
              </w:rPr>
            </w:pPr>
          </w:p>
        </w:tc>
        <w:tc>
          <w:tcPr>
            <w:tcW w:w="676" w:type="dxa"/>
          </w:tcPr>
          <w:p w14:paraId="18D65E72" w14:textId="77777777" w:rsidR="00036826" w:rsidRPr="00CA7125" w:rsidRDefault="00036826" w:rsidP="00E5644D">
            <w:pPr>
              <w:spacing w:after="0"/>
              <w:rPr>
                <w:b/>
                <w:sz w:val="18"/>
                <w:szCs w:val="18"/>
              </w:rPr>
            </w:pPr>
          </w:p>
        </w:tc>
        <w:tc>
          <w:tcPr>
            <w:tcW w:w="617" w:type="dxa"/>
          </w:tcPr>
          <w:p w14:paraId="72F20C55" w14:textId="77777777" w:rsidR="00036826" w:rsidRPr="00CA7125" w:rsidRDefault="00036826" w:rsidP="00E5644D">
            <w:pPr>
              <w:spacing w:after="0"/>
              <w:rPr>
                <w:b/>
                <w:sz w:val="18"/>
                <w:szCs w:val="18"/>
              </w:rPr>
            </w:pPr>
          </w:p>
        </w:tc>
        <w:tc>
          <w:tcPr>
            <w:tcW w:w="677" w:type="dxa"/>
          </w:tcPr>
          <w:p w14:paraId="4AD01FAD" w14:textId="77777777" w:rsidR="00036826" w:rsidRPr="00CA7125" w:rsidRDefault="00036826" w:rsidP="00E5644D">
            <w:pPr>
              <w:spacing w:after="0"/>
              <w:rPr>
                <w:b/>
                <w:sz w:val="18"/>
                <w:szCs w:val="18"/>
              </w:rPr>
            </w:pPr>
          </w:p>
        </w:tc>
        <w:tc>
          <w:tcPr>
            <w:tcW w:w="617" w:type="dxa"/>
          </w:tcPr>
          <w:p w14:paraId="2D5C00FF" w14:textId="77777777" w:rsidR="00036826" w:rsidRPr="00CA7125" w:rsidRDefault="00036826" w:rsidP="00E5644D">
            <w:pPr>
              <w:spacing w:after="0"/>
              <w:rPr>
                <w:b/>
                <w:sz w:val="18"/>
                <w:szCs w:val="18"/>
              </w:rPr>
            </w:pPr>
          </w:p>
        </w:tc>
        <w:tc>
          <w:tcPr>
            <w:tcW w:w="617" w:type="dxa"/>
          </w:tcPr>
          <w:p w14:paraId="3D9F059D" w14:textId="77777777" w:rsidR="00036826" w:rsidRPr="00CA7125" w:rsidRDefault="00036826" w:rsidP="00E5644D">
            <w:pPr>
              <w:spacing w:after="0"/>
              <w:rPr>
                <w:b/>
                <w:sz w:val="18"/>
                <w:szCs w:val="18"/>
              </w:rPr>
            </w:pPr>
          </w:p>
        </w:tc>
        <w:tc>
          <w:tcPr>
            <w:tcW w:w="633" w:type="dxa"/>
          </w:tcPr>
          <w:p w14:paraId="18A71CBF" w14:textId="77777777" w:rsidR="00036826" w:rsidRPr="00CA7125" w:rsidRDefault="00036826" w:rsidP="00E5644D">
            <w:pPr>
              <w:spacing w:after="0"/>
              <w:rPr>
                <w:b/>
                <w:sz w:val="18"/>
                <w:szCs w:val="18"/>
              </w:rPr>
            </w:pPr>
          </w:p>
        </w:tc>
        <w:tc>
          <w:tcPr>
            <w:tcW w:w="747" w:type="dxa"/>
          </w:tcPr>
          <w:p w14:paraId="2D02E617" w14:textId="77777777" w:rsidR="00036826" w:rsidRPr="00CA7125" w:rsidRDefault="00036826" w:rsidP="00E5644D">
            <w:pPr>
              <w:spacing w:after="0"/>
              <w:rPr>
                <w:b/>
                <w:sz w:val="18"/>
                <w:szCs w:val="18"/>
              </w:rPr>
            </w:pPr>
          </w:p>
        </w:tc>
        <w:tc>
          <w:tcPr>
            <w:tcW w:w="747" w:type="dxa"/>
          </w:tcPr>
          <w:p w14:paraId="2098C33B" w14:textId="77777777" w:rsidR="00036826" w:rsidRPr="00CA7125" w:rsidRDefault="00036826" w:rsidP="00E5644D">
            <w:pPr>
              <w:spacing w:after="0"/>
              <w:rPr>
                <w:b/>
                <w:sz w:val="18"/>
                <w:szCs w:val="18"/>
              </w:rPr>
            </w:pPr>
          </w:p>
        </w:tc>
        <w:tc>
          <w:tcPr>
            <w:tcW w:w="747" w:type="dxa"/>
          </w:tcPr>
          <w:p w14:paraId="6A0D4F27" w14:textId="77777777" w:rsidR="00036826" w:rsidRPr="00CA7125" w:rsidRDefault="00036826" w:rsidP="00E5644D">
            <w:pPr>
              <w:spacing w:after="0"/>
              <w:rPr>
                <w:b/>
                <w:sz w:val="18"/>
                <w:szCs w:val="18"/>
              </w:rPr>
            </w:pPr>
          </w:p>
        </w:tc>
      </w:tr>
      <w:tr w:rsidR="00036826" w:rsidRPr="00CA7125" w14:paraId="2D896CA0" w14:textId="1BA27A37" w:rsidTr="00036826">
        <w:trPr>
          <w:trHeight w:val="603"/>
        </w:trPr>
        <w:tc>
          <w:tcPr>
            <w:tcW w:w="3725" w:type="dxa"/>
          </w:tcPr>
          <w:p w14:paraId="12C8EBBF" w14:textId="400CA364" w:rsidR="00036826" w:rsidRPr="00CA7125" w:rsidRDefault="00036826" w:rsidP="00E5644D">
            <w:pPr>
              <w:spacing w:after="0"/>
              <w:jc w:val="left"/>
              <w:rPr>
                <w:bCs/>
                <w:sz w:val="18"/>
                <w:szCs w:val="18"/>
              </w:rPr>
            </w:pPr>
            <w:r w:rsidRPr="00CA7125">
              <w:rPr>
                <w:b/>
                <w:bCs/>
                <w:sz w:val="18"/>
                <w:szCs w:val="18"/>
              </w:rPr>
              <w:t xml:space="preserve">STAGE </w:t>
            </w:r>
            <w:r>
              <w:rPr>
                <w:b/>
                <w:bCs/>
                <w:sz w:val="18"/>
                <w:szCs w:val="18"/>
              </w:rPr>
              <w:t>2</w:t>
            </w:r>
            <w:r w:rsidRPr="00CA7125">
              <w:rPr>
                <w:b/>
                <w:bCs/>
                <w:sz w:val="18"/>
                <w:szCs w:val="18"/>
              </w:rPr>
              <w:t>:</w:t>
            </w:r>
            <w:r w:rsidRPr="00CA7125">
              <w:rPr>
                <w:bCs/>
                <w:sz w:val="18"/>
                <w:szCs w:val="18"/>
              </w:rPr>
              <w:t xml:space="preserve"> </w:t>
            </w:r>
          </w:p>
          <w:p w14:paraId="3D7C7095" w14:textId="0F217D19" w:rsidR="00036826" w:rsidRPr="00CA7125" w:rsidRDefault="00036826" w:rsidP="00E5644D">
            <w:pPr>
              <w:spacing w:after="0"/>
              <w:jc w:val="left"/>
              <w:rPr>
                <w:sz w:val="18"/>
                <w:szCs w:val="18"/>
              </w:rPr>
            </w:pPr>
            <w:r w:rsidRPr="00CA7125">
              <w:rPr>
                <w:sz w:val="18"/>
                <w:szCs w:val="18"/>
              </w:rPr>
              <w:t>Receive Gateway Determination.</w:t>
            </w:r>
          </w:p>
        </w:tc>
        <w:tc>
          <w:tcPr>
            <w:tcW w:w="617" w:type="dxa"/>
          </w:tcPr>
          <w:p w14:paraId="64B7E884" w14:textId="77777777" w:rsidR="00036826" w:rsidRPr="00CA7125" w:rsidRDefault="00036826" w:rsidP="00E5644D">
            <w:pPr>
              <w:spacing w:after="0"/>
              <w:rPr>
                <w:b/>
                <w:sz w:val="18"/>
                <w:szCs w:val="18"/>
              </w:rPr>
            </w:pPr>
          </w:p>
        </w:tc>
        <w:tc>
          <w:tcPr>
            <w:tcW w:w="676" w:type="dxa"/>
            <w:shd w:val="clear" w:color="auto" w:fill="000000" w:themeFill="text1"/>
          </w:tcPr>
          <w:p w14:paraId="7E5FEDC3" w14:textId="77777777" w:rsidR="00036826" w:rsidRPr="00CA7125" w:rsidRDefault="00036826" w:rsidP="00E5644D">
            <w:pPr>
              <w:spacing w:after="0"/>
              <w:rPr>
                <w:b/>
                <w:sz w:val="18"/>
                <w:szCs w:val="18"/>
              </w:rPr>
            </w:pPr>
          </w:p>
        </w:tc>
        <w:tc>
          <w:tcPr>
            <w:tcW w:w="617" w:type="dxa"/>
          </w:tcPr>
          <w:p w14:paraId="41313B90" w14:textId="77777777" w:rsidR="00036826" w:rsidRPr="00CA7125" w:rsidRDefault="00036826" w:rsidP="00E5644D">
            <w:pPr>
              <w:spacing w:after="0"/>
              <w:rPr>
                <w:b/>
                <w:sz w:val="18"/>
                <w:szCs w:val="18"/>
              </w:rPr>
            </w:pPr>
          </w:p>
        </w:tc>
        <w:tc>
          <w:tcPr>
            <w:tcW w:w="677" w:type="dxa"/>
          </w:tcPr>
          <w:p w14:paraId="18C6E88B" w14:textId="77777777" w:rsidR="00036826" w:rsidRPr="00CA7125" w:rsidRDefault="00036826" w:rsidP="00E5644D">
            <w:pPr>
              <w:spacing w:after="0"/>
              <w:rPr>
                <w:b/>
                <w:sz w:val="18"/>
                <w:szCs w:val="18"/>
              </w:rPr>
            </w:pPr>
          </w:p>
        </w:tc>
        <w:tc>
          <w:tcPr>
            <w:tcW w:w="617" w:type="dxa"/>
          </w:tcPr>
          <w:p w14:paraId="21D3DF2F" w14:textId="77777777" w:rsidR="00036826" w:rsidRPr="00CA7125" w:rsidRDefault="00036826" w:rsidP="00E5644D">
            <w:pPr>
              <w:spacing w:after="0"/>
              <w:rPr>
                <w:b/>
                <w:sz w:val="18"/>
                <w:szCs w:val="18"/>
              </w:rPr>
            </w:pPr>
          </w:p>
        </w:tc>
        <w:tc>
          <w:tcPr>
            <w:tcW w:w="617" w:type="dxa"/>
          </w:tcPr>
          <w:p w14:paraId="5825DAE0" w14:textId="77777777" w:rsidR="00036826" w:rsidRPr="00CA7125" w:rsidRDefault="00036826" w:rsidP="00E5644D">
            <w:pPr>
              <w:spacing w:after="0"/>
              <w:rPr>
                <w:b/>
                <w:sz w:val="18"/>
                <w:szCs w:val="18"/>
              </w:rPr>
            </w:pPr>
          </w:p>
        </w:tc>
        <w:tc>
          <w:tcPr>
            <w:tcW w:w="633" w:type="dxa"/>
          </w:tcPr>
          <w:p w14:paraId="3F4AA42F" w14:textId="77777777" w:rsidR="00036826" w:rsidRPr="00CA7125" w:rsidRDefault="00036826" w:rsidP="00E5644D">
            <w:pPr>
              <w:spacing w:after="0"/>
              <w:rPr>
                <w:b/>
                <w:sz w:val="18"/>
                <w:szCs w:val="18"/>
              </w:rPr>
            </w:pPr>
          </w:p>
        </w:tc>
        <w:tc>
          <w:tcPr>
            <w:tcW w:w="747" w:type="dxa"/>
          </w:tcPr>
          <w:p w14:paraId="6D90C209" w14:textId="77777777" w:rsidR="00036826" w:rsidRPr="00CA7125" w:rsidRDefault="00036826" w:rsidP="00E5644D">
            <w:pPr>
              <w:spacing w:after="0"/>
              <w:rPr>
                <w:b/>
                <w:sz w:val="18"/>
                <w:szCs w:val="18"/>
              </w:rPr>
            </w:pPr>
          </w:p>
        </w:tc>
        <w:tc>
          <w:tcPr>
            <w:tcW w:w="747" w:type="dxa"/>
          </w:tcPr>
          <w:p w14:paraId="03D3DD63" w14:textId="77777777" w:rsidR="00036826" w:rsidRPr="00CA7125" w:rsidRDefault="00036826" w:rsidP="00E5644D">
            <w:pPr>
              <w:spacing w:after="0"/>
              <w:rPr>
                <w:b/>
                <w:sz w:val="18"/>
                <w:szCs w:val="18"/>
              </w:rPr>
            </w:pPr>
          </w:p>
        </w:tc>
        <w:tc>
          <w:tcPr>
            <w:tcW w:w="747" w:type="dxa"/>
          </w:tcPr>
          <w:p w14:paraId="43374ACD" w14:textId="77777777" w:rsidR="00036826" w:rsidRPr="00CA7125" w:rsidRDefault="00036826" w:rsidP="00E5644D">
            <w:pPr>
              <w:spacing w:after="0"/>
              <w:rPr>
                <w:b/>
                <w:sz w:val="18"/>
                <w:szCs w:val="18"/>
              </w:rPr>
            </w:pPr>
          </w:p>
        </w:tc>
      </w:tr>
      <w:tr w:rsidR="00036826" w:rsidRPr="00CA7125" w14:paraId="7BD6FBCD" w14:textId="3B3D6481" w:rsidTr="00036826">
        <w:trPr>
          <w:trHeight w:val="606"/>
        </w:trPr>
        <w:tc>
          <w:tcPr>
            <w:tcW w:w="3725" w:type="dxa"/>
          </w:tcPr>
          <w:p w14:paraId="0C190FE5" w14:textId="7EC137DC" w:rsidR="00036826" w:rsidRPr="00CA7125" w:rsidRDefault="00036826" w:rsidP="003B1F6D">
            <w:pPr>
              <w:spacing w:after="0"/>
              <w:jc w:val="left"/>
              <w:rPr>
                <w:sz w:val="18"/>
                <w:szCs w:val="18"/>
              </w:rPr>
            </w:pPr>
            <w:r w:rsidRPr="00CA7125">
              <w:rPr>
                <w:b/>
                <w:bCs/>
                <w:sz w:val="18"/>
                <w:szCs w:val="18"/>
              </w:rPr>
              <w:t xml:space="preserve">STAGE </w:t>
            </w:r>
            <w:r>
              <w:rPr>
                <w:b/>
                <w:bCs/>
                <w:sz w:val="18"/>
                <w:szCs w:val="18"/>
              </w:rPr>
              <w:t>3</w:t>
            </w:r>
            <w:r w:rsidRPr="00CA7125">
              <w:rPr>
                <w:b/>
                <w:bCs/>
                <w:sz w:val="18"/>
                <w:szCs w:val="18"/>
              </w:rPr>
              <w:t>:</w:t>
            </w:r>
            <w:r w:rsidRPr="00CA7125">
              <w:rPr>
                <w:bCs/>
                <w:sz w:val="18"/>
                <w:szCs w:val="18"/>
              </w:rPr>
              <w:t xml:space="preserve"> </w:t>
            </w:r>
            <w:r w:rsidRPr="00CA7125">
              <w:rPr>
                <w:sz w:val="18"/>
                <w:szCs w:val="18"/>
              </w:rPr>
              <w:t>Preparation of documentation for Public Exhibition and undertake Agency Consultation</w:t>
            </w:r>
          </w:p>
        </w:tc>
        <w:tc>
          <w:tcPr>
            <w:tcW w:w="617" w:type="dxa"/>
          </w:tcPr>
          <w:p w14:paraId="244E06EB" w14:textId="77777777" w:rsidR="00036826" w:rsidRPr="00CA7125" w:rsidRDefault="00036826" w:rsidP="00E5644D">
            <w:pPr>
              <w:spacing w:after="0"/>
              <w:rPr>
                <w:b/>
                <w:sz w:val="18"/>
                <w:szCs w:val="18"/>
              </w:rPr>
            </w:pPr>
          </w:p>
        </w:tc>
        <w:tc>
          <w:tcPr>
            <w:tcW w:w="676" w:type="dxa"/>
          </w:tcPr>
          <w:p w14:paraId="606C3338" w14:textId="77777777" w:rsidR="00036826" w:rsidRPr="00CA7125" w:rsidRDefault="00036826" w:rsidP="00E5644D">
            <w:pPr>
              <w:spacing w:after="0"/>
              <w:rPr>
                <w:b/>
                <w:sz w:val="18"/>
                <w:szCs w:val="18"/>
              </w:rPr>
            </w:pPr>
          </w:p>
        </w:tc>
        <w:tc>
          <w:tcPr>
            <w:tcW w:w="617" w:type="dxa"/>
            <w:shd w:val="clear" w:color="auto" w:fill="000000" w:themeFill="text1"/>
          </w:tcPr>
          <w:p w14:paraId="31F5E0FB" w14:textId="77777777" w:rsidR="00036826" w:rsidRPr="00CA7125" w:rsidRDefault="00036826" w:rsidP="00E5644D">
            <w:pPr>
              <w:spacing w:after="0"/>
              <w:rPr>
                <w:b/>
                <w:sz w:val="18"/>
                <w:szCs w:val="18"/>
              </w:rPr>
            </w:pPr>
          </w:p>
        </w:tc>
        <w:tc>
          <w:tcPr>
            <w:tcW w:w="677" w:type="dxa"/>
          </w:tcPr>
          <w:p w14:paraId="40C4DDC4" w14:textId="77777777" w:rsidR="00036826" w:rsidRPr="00CA7125" w:rsidRDefault="00036826" w:rsidP="00E5644D">
            <w:pPr>
              <w:spacing w:after="0"/>
              <w:rPr>
                <w:b/>
                <w:sz w:val="18"/>
                <w:szCs w:val="18"/>
              </w:rPr>
            </w:pPr>
          </w:p>
        </w:tc>
        <w:tc>
          <w:tcPr>
            <w:tcW w:w="617" w:type="dxa"/>
          </w:tcPr>
          <w:p w14:paraId="5B7C8736" w14:textId="77777777" w:rsidR="00036826" w:rsidRPr="00CA7125" w:rsidRDefault="00036826" w:rsidP="00E5644D">
            <w:pPr>
              <w:spacing w:after="0"/>
              <w:rPr>
                <w:b/>
                <w:sz w:val="18"/>
                <w:szCs w:val="18"/>
              </w:rPr>
            </w:pPr>
          </w:p>
        </w:tc>
        <w:tc>
          <w:tcPr>
            <w:tcW w:w="617" w:type="dxa"/>
          </w:tcPr>
          <w:p w14:paraId="535C08BE" w14:textId="77777777" w:rsidR="00036826" w:rsidRPr="00CA7125" w:rsidRDefault="00036826" w:rsidP="00E5644D">
            <w:pPr>
              <w:spacing w:after="0"/>
              <w:rPr>
                <w:b/>
                <w:sz w:val="18"/>
                <w:szCs w:val="18"/>
              </w:rPr>
            </w:pPr>
          </w:p>
        </w:tc>
        <w:tc>
          <w:tcPr>
            <w:tcW w:w="633" w:type="dxa"/>
          </w:tcPr>
          <w:p w14:paraId="0CC850F8" w14:textId="77777777" w:rsidR="00036826" w:rsidRPr="00CA7125" w:rsidRDefault="00036826" w:rsidP="00E5644D">
            <w:pPr>
              <w:spacing w:after="0"/>
              <w:rPr>
                <w:b/>
                <w:sz w:val="18"/>
                <w:szCs w:val="18"/>
              </w:rPr>
            </w:pPr>
          </w:p>
        </w:tc>
        <w:tc>
          <w:tcPr>
            <w:tcW w:w="747" w:type="dxa"/>
          </w:tcPr>
          <w:p w14:paraId="32E98C17" w14:textId="77777777" w:rsidR="00036826" w:rsidRPr="00CA7125" w:rsidRDefault="00036826" w:rsidP="00E5644D">
            <w:pPr>
              <w:spacing w:after="0"/>
              <w:rPr>
                <w:b/>
                <w:sz w:val="18"/>
                <w:szCs w:val="18"/>
              </w:rPr>
            </w:pPr>
          </w:p>
        </w:tc>
        <w:tc>
          <w:tcPr>
            <w:tcW w:w="747" w:type="dxa"/>
          </w:tcPr>
          <w:p w14:paraId="57B9D8F3" w14:textId="77777777" w:rsidR="00036826" w:rsidRPr="00CA7125" w:rsidRDefault="00036826" w:rsidP="00E5644D">
            <w:pPr>
              <w:spacing w:after="0"/>
              <w:rPr>
                <w:b/>
                <w:sz w:val="18"/>
                <w:szCs w:val="18"/>
              </w:rPr>
            </w:pPr>
          </w:p>
        </w:tc>
        <w:tc>
          <w:tcPr>
            <w:tcW w:w="747" w:type="dxa"/>
          </w:tcPr>
          <w:p w14:paraId="3D456E06" w14:textId="77777777" w:rsidR="00036826" w:rsidRPr="00CA7125" w:rsidRDefault="00036826" w:rsidP="00E5644D">
            <w:pPr>
              <w:spacing w:after="0"/>
              <w:rPr>
                <w:b/>
                <w:sz w:val="18"/>
                <w:szCs w:val="18"/>
              </w:rPr>
            </w:pPr>
          </w:p>
        </w:tc>
      </w:tr>
      <w:tr w:rsidR="00036826" w:rsidRPr="00CA7125" w14:paraId="213CBA0D" w14:textId="2B9AA8C2" w:rsidTr="00036826">
        <w:trPr>
          <w:trHeight w:val="404"/>
        </w:trPr>
        <w:tc>
          <w:tcPr>
            <w:tcW w:w="3725" w:type="dxa"/>
          </w:tcPr>
          <w:p w14:paraId="642E0E9E" w14:textId="2302A78C" w:rsidR="00036826" w:rsidRPr="00CA7125" w:rsidRDefault="00036826" w:rsidP="00E5644D">
            <w:pPr>
              <w:spacing w:after="0"/>
              <w:jc w:val="left"/>
              <w:rPr>
                <w:b/>
                <w:bCs/>
                <w:sz w:val="18"/>
                <w:szCs w:val="18"/>
              </w:rPr>
            </w:pPr>
            <w:r w:rsidRPr="00CA7125">
              <w:rPr>
                <w:b/>
                <w:bCs/>
                <w:sz w:val="18"/>
                <w:szCs w:val="18"/>
              </w:rPr>
              <w:t xml:space="preserve">STAGE </w:t>
            </w:r>
            <w:r>
              <w:rPr>
                <w:b/>
                <w:bCs/>
                <w:sz w:val="18"/>
                <w:szCs w:val="18"/>
              </w:rPr>
              <w:t>4</w:t>
            </w:r>
            <w:r w:rsidRPr="00CA7125">
              <w:rPr>
                <w:b/>
                <w:bCs/>
                <w:sz w:val="18"/>
                <w:szCs w:val="18"/>
              </w:rPr>
              <w:t>:</w:t>
            </w:r>
          </w:p>
          <w:p w14:paraId="0186F325" w14:textId="522B6C71" w:rsidR="00036826" w:rsidRPr="00CA7125" w:rsidRDefault="00036826" w:rsidP="00E5644D">
            <w:pPr>
              <w:spacing w:after="0"/>
              <w:jc w:val="left"/>
              <w:rPr>
                <w:sz w:val="18"/>
                <w:szCs w:val="18"/>
              </w:rPr>
            </w:pPr>
            <w:r w:rsidRPr="00CA7125">
              <w:rPr>
                <w:sz w:val="18"/>
                <w:szCs w:val="18"/>
              </w:rPr>
              <w:t>Public Exhibition</w:t>
            </w:r>
          </w:p>
        </w:tc>
        <w:tc>
          <w:tcPr>
            <w:tcW w:w="617" w:type="dxa"/>
          </w:tcPr>
          <w:p w14:paraId="44F375FA" w14:textId="77777777" w:rsidR="00036826" w:rsidRPr="00CA7125" w:rsidRDefault="00036826" w:rsidP="00E5644D">
            <w:pPr>
              <w:spacing w:after="0"/>
              <w:rPr>
                <w:b/>
                <w:sz w:val="18"/>
                <w:szCs w:val="18"/>
              </w:rPr>
            </w:pPr>
          </w:p>
        </w:tc>
        <w:tc>
          <w:tcPr>
            <w:tcW w:w="676" w:type="dxa"/>
          </w:tcPr>
          <w:p w14:paraId="4B01E481" w14:textId="77777777" w:rsidR="00036826" w:rsidRPr="00CA7125" w:rsidRDefault="00036826" w:rsidP="00E5644D">
            <w:pPr>
              <w:spacing w:after="0"/>
              <w:rPr>
                <w:b/>
                <w:sz w:val="18"/>
                <w:szCs w:val="18"/>
              </w:rPr>
            </w:pPr>
          </w:p>
        </w:tc>
        <w:tc>
          <w:tcPr>
            <w:tcW w:w="617" w:type="dxa"/>
          </w:tcPr>
          <w:p w14:paraId="22A80195" w14:textId="77777777" w:rsidR="00036826" w:rsidRPr="00CA7125" w:rsidRDefault="00036826" w:rsidP="00E5644D">
            <w:pPr>
              <w:spacing w:after="0"/>
              <w:rPr>
                <w:b/>
                <w:sz w:val="18"/>
                <w:szCs w:val="18"/>
              </w:rPr>
            </w:pPr>
          </w:p>
        </w:tc>
        <w:tc>
          <w:tcPr>
            <w:tcW w:w="677" w:type="dxa"/>
            <w:shd w:val="clear" w:color="auto" w:fill="000000" w:themeFill="text1"/>
          </w:tcPr>
          <w:p w14:paraId="22516701" w14:textId="77777777" w:rsidR="00036826" w:rsidRPr="00CA7125" w:rsidRDefault="00036826" w:rsidP="00E5644D">
            <w:pPr>
              <w:spacing w:after="0"/>
              <w:rPr>
                <w:b/>
                <w:sz w:val="18"/>
                <w:szCs w:val="18"/>
              </w:rPr>
            </w:pPr>
          </w:p>
        </w:tc>
        <w:tc>
          <w:tcPr>
            <w:tcW w:w="617" w:type="dxa"/>
          </w:tcPr>
          <w:p w14:paraId="27E95BD8" w14:textId="77777777" w:rsidR="00036826" w:rsidRPr="00CA7125" w:rsidRDefault="00036826" w:rsidP="00E5644D">
            <w:pPr>
              <w:spacing w:after="0"/>
              <w:rPr>
                <w:b/>
                <w:sz w:val="18"/>
                <w:szCs w:val="18"/>
              </w:rPr>
            </w:pPr>
          </w:p>
        </w:tc>
        <w:tc>
          <w:tcPr>
            <w:tcW w:w="617" w:type="dxa"/>
          </w:tcPr>
          <w:p w14:paraId="3E753613" w14:textId="77777777" w:rsidR="00036826" w:rsidRPr="00CA7125" w:rsidRDefault="00036826" w:rsidP="00E5644D">
            <w:pPr>
              <w:spacing w:after="0"/>
              <w:rPr>
                <w:b/>
                <w:sz w:val="18"/>
                <w:szCs w:val="18"/>
              </w:rPr>
            </w:pPr>
          </w:p>
        </w:tc>
        <w:tc>
          <w:tcPr>
            <w:tcW w:w="633" w:type="dxa"/>
          </w:tcPr>
          <w:p w14:paraId="31A8511E" w14:textId="77777777" w:rsidR="00036826" w:rsidRPr="00CA7125" w:rsidRDefault="00036826" w:rsidP="00E5644D">
            <w:pPr>
              <w:spacing w:after="0"/>
              <w:rPr>
                <w:b/>
                <w:sz w:val="18"/>
                <w:szCs w:val="18"/>
              </w:rPr>
            </w:pPr>
          </w:p>
        </w:tc>
        <w:tc>
          <w:tcPr>
            <w:tcW w:w="747" w:type="dxa"/>
          </w:tcPr>
          <w:p w14:paraId="32149997" w14:textId="77777777" w:rsidR="00036826" w:rsidRPr="00CA7125" w:rsidRDefault="00036826" w:rsidP="00E5644D">
            <w:pPr>
              <w:spacing w:after="0"/>
              <w:rPr>
                <w:b/>
                <w:sz w:val="18"/>
                <w:szCs w:val="18"/>
              </w:rPr>
            </w:pPr>
          </w:p>
        </w:tc>
        <w:tc>
          <w:tcPr>
            <w:tcW w:w="747" w:type="dxa"/>
          </w:tcPr>
          <w:p w14:paraId="08522982" w14:textId="77777777" w:rsidR="00036826" w:rsidRPr="00CA7125" w:rsidRDefault="00036826" w:rsidP="00E5644D">
            <w:pPr>
              <w:spacing w:after="0"/>
              <w:rPr>
                <w:b/>
                <w:sz w:val="18"/>
                <w:szCs w:val="18"/>
              </w:rPr>
            </w:pPr>
          </w:p>
        </w:tc>
        <w:tc>
          <w:tcPr>
            <w:tcW w:w="747" w:type="dxa"/>
          </w:tcPr>
          <w:p w14:paraId="6748E660" w14:textId="77777777" w:rsidR="00036826" w:rsidRPr="00CA7125" w:rsidRDefault="00036826" w:rsidP="00E5644D">
            <w:pPr>
              <w:spacing w:after="0"/>
              <w:rPr>
                <w:b/>
                <w:sz w:val="18"/>
                <w:szCs w:val="18"/>
              </w:rPr>
            </w:pPr>
          </w:p>
        </w:tc>
      </w:tr>
      <w:tr w:rsidR="00036826" w:rsidRPr="00CA7125" w14:paraId="555DDAA1" w14:textId="72BAF126" w:rsidTr="00036826">
        <w:trPr>
          <w:trHeight w:val="409"/>
        </w:trPr>
        <w:tc>
          <w:tcPr>
            <w:tcW w:w="3725" w:type="dxa"/>
          </w:tcPr>
          <w:p w14:paraId="54EA2F0B" w14:textId="387914FE" w:rsidR="00036826" w:rsidRPr="00CA7125" w:rsidRDefault="00036826" w:rsidP="003B1F6D">
            <w:pPr>
              <w:spacing w:after="0"/>
              <w:jc w:val="left"/>
              <w:rPr>
                <w:b/>
                <w:bCs/>
                <w:sz w:val="18"/>
                <w:szCs w:val="18"/>
              </w:rPr>
            </w:pPr>
            <w:r>
              <w:rPr>
                <w:b/>
                <w:bCs/>
                <w:sz w:val="18"/>
                <w:szCs w:val="18"/>
              </w:rPr>
              <w:t>STAGE 5</w:t>
            </w:r>
            <w:r w:rsidRPr="00CA7125">
              <w:rPr>
                <w:b/>
                <w:bCs/>
                <w:sz w:val="18"/>
                <w:szCs w:val="18"/>
              </w:rPr>
              <w:t>:</w:t>
            </w:r>
          </w:p>
          <w:p w14:paraId="2C0E9D2C" w14:textId="76F0EA23" w:rsidR="00036826" w:rsidRPr="00CA7125" w:rsidRDefault="00036826" w:rsidP="003B1F6D">
            <w:pPr>
              <w:spacing w:after="0"/>
              <w:jc w:val="left"/>
              <w:rPr>
                <w:b/>
                <w:bCs/>
                <w:sz w:val="18"/>
                <w:szCs w:val="18"/>
              </w:rPr>
            </w:pPr>
            <w:r>
              <w:rPr>
                <w:sz w:val="18"/>
                <w:szCs w:val="18"/>
              </w:rPr>
              <w:t>Independent Public Hearing</w:t>
            </w:r>
          </w:p>
        </w:tc>
        <w:tc>
          <w:tcPr>
            <w:tcW w:w="617" w:type="dxa"/>
          </w:tcPr>
          <w:p w14:paraId="47B06578" w14:textId="77777777" w:rsidR="00036826" w:rsidRPr="00CA7125" w:rsidRDefault="00036826" w:rsidP="00E5644D">
            <w:pPr>
              <w:spacing w:after="0"/>
              <w:rPr>
                <w:b/>
                <w:sz w:val="18"/>
                <w:szCs w:val="18"/>
              </w:rPr>
            </w:pPr>
          </w:p>
        </w:tc>
        <w:tc>
          <w:tcPr>
            <w:tcW w:w="676" w:type="dxa"/>
          </w:tcPr>
          <w:p w14:paraId="5531872E" w14:textId="77777777" w:rsidR="00036826" w:rsidRPr="00CA7125" w:rsidRDefault="00036826" w:rsidP="00E5644D">
            <w:pPr>
              <w:spacing w:after="0"/>
              <w:rPr>
                <w:b/>
                <w:sz w:val="18"/>
                <w:szCs w:val="18"/>
              </w:rPr>
            </w:pPr>
          </w:p>
        </w:tc>
        <w:tc>
          <w:tcPr>
            <w:tcW w:w="617" w:type="dxa"/>
          </w:tcPr>
          <w:p w14:paraId="681BE0B3" w14:textId="77777777" w:rsidR="00036826" w:rsidRPr="00CA7125" w:rsidRDefault="00036826" w:rsidP="00E5644D">
            <w:pPr>
              <w:spacing w:after="0"/>
              <w:rPr>
                <w:b/>
                <w:sz w:val="18"/>
                <w:szCs w:val="18"/>
              </w:rPr>
            </w:pPr>
          </w:p>
        </w:tc>
        <w:tc>
          <w:tcPr>
            <w:tcW w:w="677" w:type="dxa"/>
            <w:shd w:val="clear" w:color="auto" w:fill="auto"/>
          </w:tcPr>
          <w:p w14:paraId="10882FF0" w14:textId="77777777" w:rsidR="00036826" w:rsidRPr="00CA7125" w:rsidRDefault="00036826" w:rsidP="00E5644D">
            <w:pPr>
              <w:spacing w:after="0"/>
              <w:rPr>
                <w:b/>
                <w:sz w:val="18"/>
                <w:szCs w:val="18"/>
              </w:rPr>
            </w:pPr>
          </w:p>
        </w:tc>
        <w:tc>
          <w:tcPr>
            <w:tcW w:w="617" w:type="dxa"/>
            <w:shd w:val="clear" w:color="auto" w:fill="000000" w:themeFill="text1"/>
          </w:tcPr>
          <w:p w14:paraId="53A3B5CB" w14:textId="77777777" w:rsidR="00036826" w:rsidRPr="00CA7125" w:rsidRDefault="00036826" w:rsidP="00E5644D">
            <w:pPr>
              <w:spacing w:after="0"/>
              <w:rPr>
                <w:b/>
                <w:sz w:val="18"/>
                <w:szCs w:val="18"/>
              </w:rPr>
            </w:pPr>
          </w:p>
        </w:tc>
        <w:tc>
          <w:tcPr>
            <w:tcW w:w="617" w:type="dxa"/>
            <w:shd w:val="clear" w:color="auto" w:fill="000000" w:themeFill="text1"/>
          </w:tcPr>
          <w:p w14:paraId="4A822202" w14:textId="77777777" w:rsidR="00036826" w:rsidRPr="00CA7125" w:rsidRDefault="00036826" w:rsidP="00E5644D">
            <w:pPr>
              <w:spacing w:after="0"/>
              <w:rPr>
                <w:b/>
                <w:sz w:val="18"/>
                <w:szCs w:val="18"/>
              </w:rPr>
            </w:pPr>
          </w:p>
        </w:tc>
        <w:tc>
          <w:tcPr>
            <w:tcW w:w="633" w:type="dxa"/>
          </w:tcPr>
          <w:p w14:paraId="7D5F8AD4" w14:textId="77777777" w:rsidR="00036826" w:rsidRPr="00CA7125" w:rsidRDefault="00036826" w:rsidP="00E5644D">
            <w:pPr>
              <w:spacing w:after="0"/>
              <w:rPr>
                <w:b/>
                <w:sz w:val="18"/>
                <w:szCs w:val="18"/>
              </w:rPr>
            </w:pPr>
          </w:p>
        </w:tc>
        <w:tc>
          <w:tcPr>
            <w:tcW w:w="747" w:type="dxa"/>
          </w:tcPr>
          <w:p w14:paraId="696D4FA7" w14:textId="77777777" w:rsidR="00036826" w:rsidRPr="00CA7125" w:rsidRDefault="00036826" w:rsidP="00E5644D">
            <w:pPr>
              <w:spacing w:after="0"/>
              <w:rPr>
                <w:b/>
                <w:sz w:val="18"/>
                <w:szCs w:val="18"/>
              </w:rPr>
            </w:pPr>
          </w:p>
        </w:tc>
        <w:tc>
          <w:tcPr>
            <w:tcW w:w="747" w:type="dxa"/>
          </w:tcPr>
          <w:p w14:paraId="02E703EA" w14:textId="77777777" w:rsidR="00036826" w:rsidRPr="00CA7125" w:rsidRDefault="00036826" w:rsidP="00E5644D">
            <w:pPr>
              <w:spacing w:after="0"/>
              <w:rPr>
                <w:b/>
                <w:sz w:val="18"/>
                <w:szCs w:val="18"/>
              </w:rPr>
            </w:pPr>
          </w:p>
        </w:tc>
        <w:tc>
          <w:tcPr>
            <w:tcW w:w="747" w:type="dxa"/>
          </w:tcPr>
          <w:p w14:paraId="08C23DD0" w14:textId="77777777" w:rsidR="00036826" w:rsidRPr="00CA7125" w:rsidRDefault="00036826" w:rsidP="00E5644D">
            <w:pPr>
              <w:spacing w:after="0"/>
              <w:rPr>
                <w:b/>
                <w:sz w:val="18"/>
                <w:szCs w:val="18"/>
              </w:rPr>
            </w:pPr>
          </w:p>
        </w:tc>
      </w:tr>
      <w:tr w:rsidR="00036826" w:rsidRPr="00CA7125" w14:paraId="5B723E22" w14:textId="1ECA038B" w:rsidTr="00036826">
        <w:trPr>
          <w:trHeight w:val="476"/>
        </w:trPr>
        <w:tc>
          <w:tcPr>
            <w:tcW w:w="3725" w:type="dxa"/>
          </w:tcPr>
          <w:p w14:paraId="7BEAE5C0" w14:textId="0CFE0805" w:rsidR="00036826" w:rsidRDefault="00036826" w:rsidP="003B1F6D">
            <w:pPr>
              <w:spacing w:after="0"/>
              <w:jc w:val="left"/>
              <w:rPr>
                <w:bCs/>
                <w:sz w:val="18"/>
                <w:szCs w:val="18"/>
              </w:rPr>
            </w:pPr>
            <w:r>
              <w:rPr>
                <w:b/>
                <w:bCs/>
                <w:sz w:val="18"/>
                <w:szCs w:val="18"/>
              </w:rPr>
              <w:t>STAGE 6</w:t>
            </w:r>
            <w:r w:rsidRPr="00CA7125">
              <w:rPr>
                <w:b/>
                <w:bCs/>
                <w:sz w:val="18"/>
                <w:szCs w:val="18"/>
              </w:rPr>
              <w:t>:</w:t>
            </w:r>
            <w:r w:rsidRPr="00CA7125">
              <w:rPr>
                <w:bCs/>
                <w:sz w:val="18"/>
                <w:szCs w:val="18"/>
              </w:rPr>
              <w:t xml:space="preserve"> </w:t>
            </w:r>
          </w:p>
          <w:p w14:paraId="31BA4982" w14:textId="12595C52" w:rsidR="00036826" w:rsidRPr="00CA7125" w:rsidRDefault="00036826" w:rsidP="003B1F6D">
            <w:pPr>
              <w:spacing w:after="0"/>
              <w:jc w:val="left"/>
              <w:rPr>
                <w:bCs/>
                <w:sz w:val="18"/>
                <w:szCs w:val="18"/>
              </w:rPr>
            </w:pPr>
            <w:r>
              <w:rPr>
                <w:bCs/>
                <w:sz w:val="18"/>
                <w:szCs w:val="18"/>
              </w:rPr>
              <w:t>Consider outcomes from public exhibition</w:t>
            </w:r>
          </w:p>
        </w:tc>
        <w:tc>
          <w:tcPr>
            <w:tcW w:w="617" w:type="dxa"/>
          </w:tcPr>
          <w:p w14:paraId="4B1EE0A9" w14:textId="77777777" w:rsidR="00036826" w:rsidRPr="00CA7125" w:rsidRDefault="00036826" w:rsidP="00E5644D">
            <w:pPr>
              <w:spacing w:after="0"/>
              <w:rPr>
                <w:b/>
                <w:sz w:val="18"/>
                <w:szCs w:val="18"/>
              </w:rPr>
            </w:pPr>
          </w:p>
        </w:tc>
        <w:tc>
          <w:tcPr>
            <w:tcW w:w="676" w:type="dxa"/>
          </w:tcPr>
          <w:p w14:paraId="7A9D8B6F" w14:textId="77777777" w:rsidR="00036826" w:rsidRPr="00CA7125" w:rsidRDefault="00036826" w:rsidP="00E5644D">
            <w:pPr>
              <w:spacing w:after="0"/>
              <w:rPr>
                <w:b/>
                <w:sz w:val="18"/>
                <w:szCs w:val="18"/>
              </w:rPr>
            </w:pPr>
          </w:p>
        </w:tc>
        <w:tc>
          <w:tcPr>
            <w:tcW w:w="617" w:type="dxa"/>
          </w:tcPr>
          <w:p w14:paraId="08FB0B94" w14:textId="77777777" w:rsidR="00036826" w:rsidRPr="00CA7125" w:rsidRDefault="00036826" w:rsidP="00E5644D">
            <w:pPr>
              <w:spacing w:after="0"/>
              <w:rPr>
                <w:b/>
                <w:sz w:val="18"/>
                <w:szCs w:val="18"/>
              </w:rPr>
            </w:pPr>
          </w:p>
        </w:tc>
        <w:tc>
          <w:tcPr>
            <w:tcW w:w="677" w:type="dxa"/>
          </w:tcPr>
          <w:p w14:paraId="21F7CFC2" w14:textId="77777777" w:rsidR="00036826" w:rsidRPr="00CA7125" w:rsidRDefault="00036826" w:rsidP="00E5644D">
            <w:pPr>
              <w:spacing w:after="0"/>
              <w:rPr>
                <w:b/>
                <w:sz w:val="18"/>
                <w:szCs w:val="18"/>
              </w:rPr>
            </w:pPr>
          </w:p>
        </w:tc>
        <w:tc>
          <w:tcPr>
            <w:tcW w:w="617" w:type="dxa"/>
            <w:shd w:val="clear" w:color="auto" w:fill="FFFFFF" w:themeFill="background1"/>
          </w:tcPr>
          <w:p w14:paraId="3AEA18A6" w14:textId="77777777" w:rsidR="00036826" w:rsidRPr="00CA7125" w:rsidRDefault="00036826" w:rsidP="00E5644D">
            <w:pPr>
              <w:spacing w:after="0"/>
              <w:rPr>
                <w:b/>
                <w:sz w:val="18"/>
                <w:szCs w:val="18"/>
              </w:rPr>
            </w:pPr>
          </w:p>
        </w:tc>
        <w:tc>
          <w:tcPr>
            <w:tcW w:w="617" w:type="dxa"/>
            <w:shd w:val="clear" w:color="auto" w:fill="000000" w:themeFill="text1"/>
          </w:tcPr>
          <w:p w14:paraId="41C0639C" w14:textId="77777777" w:rsidR="00036826" w:rsidRPr="00CA7125" w:rsidRDefault="00036826" w:rsidP="00E5644D">
            <w:pPr>
              <w:spacing w:after="0"/>
              <w:rPr>
                <w:b/>
                <w:sz w:val="18"/>
                <w:szCs w:val="18"/>
              </w:rPr>
            </w:pPr>
          </w:p>
        </w:tc>
        <w:tc>
          <w:tcPr>
            <w:tcW w:w="633" w:type="dxa"/>
            <w:shd w:val="clear" w:color="auto" w:fill="000000" w:themeFill="text1"/>
          </w:tcPr>
          <w:p w14:paraId="0CBA2035" w14:textId="77777777" w:rsidR="00036826" w:rsidRPr="00CA7125" w:rsidRDefault="00036826" w:rsidP="00E5644D">
            <w:pPr>
              <w:spacing w:after="0"/>
              <w:rPr>
                <w:b/>
                <w:sz w:val="18"/>
                <w:szCs w:val="18"/>
              </w:rPr>
            </w:pPr>
          </w:p>
        </w:tc>
        <w:tc>
          <w:tcPr>
            <w:tcW w:w="747" w:type="dxa"/>
          </w:tcPr>
          <w:p w14:paraId="05AFACB7" w14:textId="77777777" w:rsidR="00036826" w:rsidRPr="00CA7125" w:rsidRDefault="00036826" w:rsidP="00E5644D">
            <w:pPr>
              <w:spacing w:after="0"/>
              <w:rPr>
                <w:b/>
                <w:sz w:val="18"/>
                <w:szCs w:val="18"/>
              </w:rPr>
            </w:pPr>
          </w:p>
        </w:tc>
        <w:tc>
          <w:tcPr>
            <w:tcW w:w="747" w:type="dxa"/>
          </w:tcPr>
          <w:p w14:paraId="23160223" w14:textId="77777777" w:rsidR="00036826" w:rsidRPr="00CA7125" w:rsidRDefault="00036826" w:rsidP="00E5644D">
            <w:pPr>
              <w:spacing w:after="0"/>
              <w:rPr>
                <w:b/>
                <w:sz w:val="18"/>
                <w:szCs w:val="18"/>
              </w:rPr>
            </w:pPr>
          </w:p>
        </w:tc>
        <w:tc>
          <w:tcPr>
            <w:tcW w:w="747" w:type="dxa"/>
          </w:tcPr>
          <w:p w14:paraId="46F6C110" w14:textId="77777777" w:rsidR="00036826" w:rsidRPr="00CA7125" w:rsidRDefault="00036826" w:rsidP="00E5644D">
            <w:pPr>
              <w:spacing w:after="0"/>
              <w:rPr>
                <w:b/>
                <w:sz w:val="18"/>
                <w:szCs w:val="18"/>
              </w:rPr>
            </w:pPr>
          </w:p>
        </w:tc>
      </w:tr>
      <w:tr w:rsidR="00036826" w:rsidRPr="00CA7125" w14:paraId="656212BB" w14:textId="03596D4A" w:rsidTr="00036826">
        <w:trPr>
          <w:trHeight w:val="570"/>
        </w:trPr>
        <w:tc>
          <w:tcPr>
            <w:tcW w:w="3725" w:type="dxa"/>
          </w:tcPr>
          <w:p w14:paraId="6A7B8F62" w14:textId="6145B568" w:rsidR="00036826" w:rsidRPr="00CA7125" w:rsidRDefault="00036826" w:rsidP="00E5644D">
            <w:pPr>
              <w:spacing w:after="0"/>
              <w:jc w:val="left"/>
              <w:rPr>
                <w:b/>
                <w:bCs/>
                <w:sz w:val="18"/>
                <w:szCs w:val="18"/>
              </w:rPr>
            </w:pPr>
            <w:r>
              <w:rPr>
                <w:b/>
                <w:bCs/>
                <w:sz w:val="18"/>
                <w:szCs w:val="18"/>
              </w:rPr>
              <w:t>STAGE 7</w:t>
            </w:r>
            <w:r w:rsidRPr="00CA7125">
              <w:rPr>
                <w:b/>
                <w:bCs/>
                <w:sz w:val="18"/>
                <w:szCs w:val="18"/>
              </w:rPr>
              <w:t>:</w:t>
            </w:r>
          </w:p>
          <w:p w14:paraId="48C696FC" w14:textId="4A85A605" w:rsidR="00036826" w:rsidRPr="00CA7125" w:rsidRDefault="00036826" w:rsidP="003B1F6D">
            <w:pPr>
              <w:spacing w:after="0"/>
              <w:jc w:val="left"/>
              <w:rPr>
                <w:sz w:val="18"/>
                <w:szCs w:val="18"/>
              </w:rPr>
            </w:pPr>
            <w:r>
              <w:rPr>
                <w:sz w:val="18"/>
                <w:szCs w:val="18"/>
              </w:rPr>
              <w:t>Post Exhibition R</w:t>
            </w:r>
            <w:r w:rsidRPr="00CA7125">
              <w:rPr>
                <w:sz w:val="18"/>
                <w:szCs w:val="18"/>
              </w:rPr>
              <w:t>eport to Council</w:t>
            </w:r>
          </w:p>
        </w:tc>
        <w:tc>
          <w:tcPr>
            <w:tcW w:w="617" w:type="dxa"/>
          </w:tcPr>
          <w:p w14:paraId="2D001969" w14:textId="77777777" w:rsidR="00036826" w:rsidRPr="00CA7125" w:rsidRDefault="00036826" w:rsidP="00E5644D">
            <w:pPr>
              <w:spacing w:after="0"/>
              <w:rPr>
                <w:b/>
                <w:sz w:val="18"/>
                <w:szCs w:val="18"/>
              </w:rPr>
            </w:pPr>
          </w:p>
        </w:tc>
        <w:tc>
          <w:tcPr>
            <w:tcW w:w="676" w:type="dxa"/>
          </w:tcPr>
          <w:p w14:paraId="77DB9FE4" w14:textId="77777777" w:rsidR="00036826" w:rsidRPr="00CA7125" w:rsidRDefault="00036826" w:rsidP="00E5644D">
            <w:pPr>
              <w:spacing w:after="0"/>
              <w:rPr>
                <w:b/>
                <w:sz w:val="18"/>
                <w:szCs w:val="18"/>
              </w:rPr>
            </w:pPr>
          </w:p>
        </w:tc>
        <w:tc>
          <w:tcPr>
            <w:tcW w:w="617" w:type="dxa"/>
          </w:tcPr>
          <w:p w14:paraId="3F91EA5C" w14:textId="77777777" w:rsidR="00036826" w:rsidRPr="00CA7125" w:rsidRDefault="00036826" w:rsidP="00E5644D">
            <w:pPr>
              <w:spacing w:after="0"/>
              <w:rPr>
                <w:b/>
                <w:sz w:val="18"/>
                <w:szCs w:val="18"/>
              </w:rPr>
            </w:pPr>
          </w:p>
        </w:tc>
        <w:tc>
          <w:tcPr>
            <w:tcW w:w="677" w:type="dxa"/>
          </w:tcPr>
          <w:p w14:paraId="5BD8A110" w14:textId="77777777" w:rsidR="00036826" w:rsidRPr="00CA7125" w:rsidRDefault="00036826" w:rsidP="00E5644D">
            <w:pPr>
              <w:spacing w:after="0"/>
              <w:rPr>
                <w:b/>
                <w:sz w:val="18"/>
                <w:szCs w:val="18"/>
              </w:rPr>
            </w:pPr>
          </w:p>
        </w:tc>
        <w:tc>
          <w:tcPr>
            <w:tcW w:w="617" w:type="dxa"/>
          </w:tcPr>
          <w:p w14:paraId="20A7D442" w14:textId="77777777" w:rsidR="00036826" w:rsidRPr="00CA7125" w:rsidRDefault="00036826" w:rsidP="00E5644D">
            <w:pPr>
              <w:spacing w:after="0"/>
              <w:rPr>
                <w:b/>
                <w:sz w:val="18"/>
                <w:szCs w:val="18"/>
              </w:rPr>
            </w:pPr>
          </w:p>
        </w:tc>
        <w:tc>
          <w:tcPr>
            <w:tcW w:w="617" w:type="dxa"/>
            <w:shd w:val="clear" w:color="auto" w:fill="FFFFFF" w:themeFill="background1"/>
          </w:tcPr>
          <w:p w14:paraId="61869B9A" w14:textId="77777777" w:rsidR="00036826" w:rsidRPr="00CA7125" w:rsidRDefault="00036826" w:rsidP="00E5644D">
            <w:pPr>
              <w:spacing w:after="0"/>
              <w:rPr>
                <w:b/>
                <w:sz w:val="18"/>
                <w:szCs w:val="18"/>
              </w:rPr>
            </w:pPr>
          </w:p>
        </w:tc>
        <w:tc>
          <w:tcPr>
            <w:tcW w:w="633" w:type="dxa"/>
            <w:shd w:val="clear" w:color="auto" w:fill="000000" w:themeFill="text1"/>
          </w:tcPr>
          <w:p w14:paraId="040C428F" w14:textId="77777777" w:rsidR="00036826" w:rsidRPr="00CA7125" w:rsidRDefault="00036826" w:rsidP="00E5644D">
            <w:pPr>
              <w:spacing w:after="0"/>
              <w:rPr>
                <w:b/>
                <w:sz w:val="18"/>
                <w:szCs w:val="18"/>
              </w:rPr>
            </w:pPr>
          </w:p>
        </w:tc>
        <w:tc>
          <w:tcPr>
            <w:tcW w:w="747" w:type="dxa"/>
          </w:tcPr>
          <w:p w14:paraId="6CCF9A93" w14:textId="77777777" w:rsidR="00036826" w:rsidRPr="00CA7125" w:rsidRDefault="00036826" w:rsidP="00E5644D">
            <w:pPr>
              <w:spacing w:after="0"/>
              <w:rPr>
                <w:b/>
                <w:sz w:val="18"/>
                <w:szCs w:val="18"/>
              </w:rPr>
            </w:pPr>
          </w:p>
        </w:tc>
        <w:tc>
          <w:tcPr>
            <w:tcW w:w="747" w:type="dxa"/>
          </w:tcPr>
          <w:p w14:paraId="6976A9B9" w14:textId="77777777" w:rsidR="00036826" w:rsidRPr="00CA7125" w:rsidRDefault="00036826" w:rsidP="00E5644D">
            <w:pPr>
              <w:spacing w:after="0"/>
              <w:rPr>
                <w:b/>
                <w:sz w:val="18"/>
                <w:szCs w:val="18"/>
              </w:rPr>
            </w:pPr>
          </w:p>
        </w:tc>
        <w:tc>
          <w:tcPr>
            <w:tcW w:w="747" w:type="dxa"/>
          </w:tcPr>
          <w:p w14:paraId="18C267A2" w14:textId="77777777" w:rsidR="00036826" w:rsidRPr="00CA7125" w:rsidRDefault="00036826" w:rsidP="00E5644D">
            <w:pPr>
              <w:spacing w:after="0"/>
              <w:rPr>
                <w:b/>
                <w:sz w:val="18"/>
                <w:szCs w:val="18"/>
              </w:rPr>
            </w:pPr>
          </w:p>
        </w:tc>
      </w:tr>
      <w:tr w:rsidR="00036826" w:rsidRPr="00CA7125" w14:paraId="3E0D7AA2" w14:textId="750E6AB8" w:rsidTr="00036826">
        <w:trPr>
          <w:trHeight w:val="692"/>
        </w:trPr>
        <w:tc>
          <w:tcPr>
            <w:tcW w:w="3725" w:type="dxa"/>
          </w:tcPr>
          <w:p w14:paraId="372F4533" w14:textId="64A67EEC" w:rsidR="00036826" w:rsidRPr="00CA7125" w:rsidRDefault="00036826" w:rsidP="00E5644D">
            <w:pPr>
              <w:spacing w:after="0"/>
              <w:rPr>
                <w:b/>
                <w:bCs/>
                <w:sz w:val="18"/>
                <w:szCs w:val="18"/>
              </w:rPr>
            </w:pPr>
            <w:r>
              <w:rPr>
                <w:b/>
                <w:bCs/>
                <w:sz w:val="18"/>
                <w:szCs w:val="18"/>
              </w:rPr>
              <w:t>STAGE 8</w:t>
            </w:r>
            <w:r w:rsidRPr="00CA7125">
              <w:rPr>
                <w:b/>
                <w:bCs/>
                <w:sz w:val="18"/>
                <w:szCs w:val="18"/>
              </w:rPr>
              <w:t>:</w:t>
            </w:r>
          </w:p>
          <w:p w14:paraId="3C952FE9" w14:textId="09C032BB" w:rsidR="00036826" w:rsidRPr="00CA7125" w:rsidRDefault="00036826" w:rsidP="00E5644D">
            <w:pPr>
              <w:spacing w:after="0"/>
              <w:jc w:val="left"/>
              <w:rPr>
                <w:sz w:val="18"/>
                <w:szCs w:val="18"/>
              </w:rPr>
            </w:pPr>
            <w:r w:rsidRPr="00CA7125">
              <w:rPr>
                <w:sz w:val="18"/>
                <w:szCs w:val="18"/>
              </w:rPr>
              <w:t>F</w:t>
            </w:r>
            <w:r>
              <w:rPr>
                <w:sz w:val="18"/>
                <w:szCs w:val="18"/>
              </w:rPr>
              <w:t>orward Planning Proposal to DPIE</w:t>
            </w:r>
            <w:r w:rsidRPr="00CA7125">
              <w:rPr>
                <w:sz w:val="18"/>
                <w:szCs w:val="18"/>
              </w:rPr>
              <w:t xml:space="preserve"> with request the amendment be made</w:t>
            </w:r>
          </w:p>
        </w:tc>
        <w:tc>
          <w:tcPr>
            <w:tcW w:w="617" w:type="dxa"/>
          </w:tcPr>
          <w:p w14:paraId="5A2F8D28" w14:textId="77777777" w:rsidR="00036826" w:rsidRPr="00CA7125" w:rsidRDefault="00036826" w:rsidP="00E5644D">
            <w:pPr>
              <w:spacing w:after="0"/>
              <w:rPr>
                <w:b/>
                <w:sz w:val="18"/>
                <w:szCs w:val="18"/>
              </w:rPr>
            </w:pPr>
          </w:p>
        </w:tc>
        <w:tc>
          <w:tcPr>
            <w:tcW w:w="676" w:type="dxa"/>
          </w:tcPr>
          <w:p w14:paraId="6D470DD9" w14:textId="77777777" w:rsidR="00036826" w:rsidRPr="00CA7125" w:rsidRDefault="00036826" w:rsidP="00E5644D">
            <w:pPr>
              <w:spacing w:after="0"/>
              <w:rPr>
                <w:b/>
                <w:sz w:val="18"/>
                <w:szCs w:val="18"/>
              </w:rPr>
            </w:pPr>
          </w:p>
        </w:tc>
        <w:tc>
          <w:tcPr>
            <w:tcW w:w="617" w:type="dxa"/>
          </w:tcPr>
          <w:p w14:paraId="59EB2143" w14:textId="77777777" w:rsidR="00036826" w:rsidRPr="00CA7125" w:rsidRDefault="00036826" w:rsidP="00E5644D">
            <w:pPr>
              <w:spacing w:after="0"/>
              <w:rPr>
                <w:b/>
                <w:sz w:val="18"/>
                <w:szCs w:val="18"/>
              </w:rPr>
            </w:pPr>
          </w:p>
        </w:tc>
        <w:tc>
          <w:tcPr>
            <w:tcW w:w="677" w:type="dxa"/>
          </w:tcPr>
          <w:p w14:paraId="2C67E2AE" w14:textId="77777777" w:rsidR="00036826" w:rsidRPr="00CA7125" w:rsidRDefault="00036826" w:rsidP="00E5644D">
            <w:pPr>
              <w:spacing w:after="0"/>
              <w:rPr>
                <w:b/>
                <w:sz w:val="18"/>
                <w:szCs w:val="18"/>
              </w:rPr>
            </w:pPr>
          </w:p>
        </w:tc>
        <w:tc>
          <w:tcPr>
            <w:tcW w:w="617" w:type="dxa"/>
          </w:tcPr>
          <w:p w14:paraId="286FF0CC" w14:textId="77777777" w:rsidR="00036826" w:rsidRPr="00CA7125" w:rsidRDefault="00036826" w:rsidP="00E5644D">
            <w:pPr>
              <w:spacing w:after="0"/>
              <w:rPr>
                <w:b/>
                <w:sz w:val="18"/>
                <w:szCs w:val="18"/>
              </w:rPr>
            </w:pPr>
          </w:p>
        </w:tc>
        <w:tc>
          <w:tcPr>
            <w:tcW w:w="617" w:type="dxa"/>
          </w:tcPr>
          <w:p w14:paraId="697595CD" w14:textId="77777777" w:rsidR="00036826" w:rsidRPr="00CA7125" w:rsidRDefault="00036826" w:rsidP="00E5644D">
            <w:pPr>
              <w:spacing w:after="0"/>
              <w:rPr>
                <w:b/>
                <w:sz w:val="18"/>
                <w:szCs w:val="18"/>
              </w:rPr>
            </w:pPr>
          </w:p>
        </w:tc>
        <w:tc>
          <w:tcPr>
            <w:tcW w:w="633" w:type="dxa"/>
            <w:shd w:val="clear" w:color="auto" w:fill="FFFFFF" w:themeFill="background1"/>
          </w:tcPr>
          <w:p w14:paraId="5F00D58D" w14:textId="77777777" w:rsidR="00036826" w:rsidRPr="00CA7125" w:rsidRDefault="00036826" w:rsidP="00E5644D">
            <w:pPr>
              <w:spacing w:after="0"/>
              <w:rPr>
                <w:b/>
                <w:sz w:val="18"/>
                <w:szCs w:val="18"/>
              </w:rPr>
            </w:pPr>
          </w:p>
        </w:tc>
        <w:tc>
          <w:tcPr>
            <w:tcW w:w="747" w:type="dxa"/>
            <w:shd w:val="clear" w:color="auto" w:fill="000000" w:themeFill="text1"/>
          </w:tcPr>
          <w:p w14:paraId="428E2D28" w14:textId="77777777" w:rsidR="00036826" w:rsidRPr="00CA7125" w:rsidRDefault="00036826" w:rsidP="00E5644D">
            <w:pPr>
              <w:spacing w:after="0"/>
              <w:rPr>
                <w:b/>
                <w:sz w:val="18"/>
                <w:szCs w:val="18"/>
              </w:rPr>
            </w:pPr>
          </w:p>
        </w:tc>
        <w:tc>
          <w:tcPr>
            <w:tcW w:w="747" w:type="dxa"/>
            <w:shd w:val="clear" w:color="auto" w:fill="000000" w:themeFill="text1"/>
          </w:tcPr>
          <w:p w14:paraId="009E9E3D" w14:textId="77777777" w:rsidR="00036826" w:rsidRPr="00CA7125" w:rsidRDefault="00036826" w:rsidP="00E5644D">
            <w:pPr>
              <w:spacing w:after="0"/>
              <w:rPr>
                <w:b/>
                <w:sz w:val="18"/>
                <w:szCs w:val="18"/>
              </w:rPr>
            </w:pPr>
          </w:p>
        </w:tc>
        <w:tc>
          <w:tcPr>
            <w:tcW w:w="747" w:type="dxa"/>
            <w:shd w:val="clear" w:color="auto" w:fill="000000" w:themeFill="text1"/>
          </w:tcPr>
          <w:p w14:paraId="45210FE0" w14:textId="77777777" w:rsidR="00036826" w:rsidRPr="00CA7125" w:rsidRDefault="00036826" w:rsidP="00E5644D">
            <w:pPr>
              <w:spacing w:after="0"/>
              <w:rPr>
                <w:b/>
                <w:sz w:val="18"/>
                <w:szCs w:val="18"/>
              </w:rPr>
            </w:pPr>
          </w:p>
        </w:tc>
      </w:tr>
    </w:tbl>
    <w:p w14:paraId="245FA716" w14:textId="77777777" w:rsidR="00E5380B" w:rsidRPr="00E5380B" w:rsidRDefault="00E5380B" w:rsidP="00E5380B">
      <w:pPr>
        <w:rPr>
          <w:b/>
        </w:rPr>
      </w:pPr>
    </w:p>
    <w:p w14:paraId="76DB1490" w14:textId="26235BB3" w:rsidR="00AA1F3F" w:rsidRPr="00B42A9D" w:rsidRDefault="00AA1F3F" w:rsidP="00A045F7"/>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BE7AC0" w14:paraId="45329B92" w14:textId="77777777" w:rsidTr="00E54DC4">
        <w:tc>
          <w:tcPr>
            <w:tcW w:w="10348" w:type="dxa"/>
          </w:tcPr>
          <w:p w14:paraId="7A846C10" w14:textId="594BD060" w:rsidR="00BE7AC0" w:rsidRPr="00BE7AC0" w:rsidRDefault="00BE7AC0" w:rsidP="003B1F6D">
            <w:pPr>
              <w:pStyle w:val="Caption"/>
              <w:spacing w:after="0"/>
              <w:rPr>
                <w:sz w:val="36"/>
                <w:szCs w:val="36"/>
                <w:lang w:eastAsia="en-AU"/>
              </w:rPr>
            </w:pPr>
            <w:bookmarkStart w:id="42" w:name="_Toc80259544"/>
            <w:r w:rsidRPr="00BE7AC0">
              <w:rPr>
                <w:sz w:val="36"/>
                <w:szCs w:val="36"/>
                <w:lang w:eastAsia="en-AU"/>
              </w:rPr>
              <w:t xml:space="preserve">Appendix </w:t>
            </w:r>
            <w:r w:rsidRPr="00BE7AC0">
              <w:rPr>
                <w:sz w:val="36"/>
                <w:szCs w:val="36"/>
                <w:lang w:eastAsia="en-AU"/>
              </w:rPr>
              <w:fldChar w:fldCharType="begin"/>
            </w:r>
            <w:r w:rsidRPr="00BE7AC0">
              <w:rPr>
                <w:sz w:val="36"/>
                <w:szCs w:val="36"/>
                <w:lang w:eastAsia="en-AU"/>
              </w:rPr>
              <w:instrText xml:space="preserve"> SEQ Appendix \* ARABIC </w:instrText>
            </w:r>
            <w:r w:rsidRPr="00BE7AC0">
              <w:rPr>
                <w:sz w:val="36"/>
                <w:szCs w:val="36"/>
                <w:lang w:eastAsia="en-AU"/>
              </w:rPr>
              <w:fldChar w:fldCharType="separate"/>
            </w:r>
            <w:r w:rsidR="003D791F">
              <w:rPr>
                <w:noProof/>
                <w:sz w:val="36"/>
                <w:szCs w:val="36"/>
                <w:lang w:eastAsia="en-AU"/>
              </w:rPr>
              <w:t>1</w:t>
            </w:r>
            <w:r w:rsidRPr="00BE7AC0">
              <w:rPr>
                <w:sz w:val="36"/>
                <w:szCs w:val="36"/>
                <w:lang w:eastAsia="en-AU"/>
              </w:rPr>
              <w:fldChar w:fldCharType="end"/>
            </w:r>
            <w:r>
              <w:rPr>
                <w:sz w:val="36"/>
                <w:szCs w:val="36"/>
                <w:lang w:eastAsia="en-AU"/>
              </w:rPr>
              <w:t>:</w:t>
            </w:r>
            <w:r w:rsidR="003B1F6D">
              <w:rPr>
                <w:sz w:val="36"/>
                <w:szCs w:val="36"/>
                <w:lang w:eastAsia="en-AU"/>
              </w:rPr>
              <w:t xml:space="preserve"> </w:t>
            </w:r>
            <w:r w:rsidRPr="00BE7AC0">
              <w:rPr>
                <w:sz w:val="36"/>
                <w:szCs w:val="36"/>
                <w:lang w:eastAsia="en-AU"/>
              </w:rPr>
              <w:t>Council Report and Minutes (dates)</w:t>
            </w:r>
            <w:bookmarkEnd w:id="42"/>
          </w:p>
        </w:tc>
      </w:tr>
    </w:tbl>
    <w:p w14:paraId="79FC7A7C" w14:textId="77777777" w:rsidR="003B1F6D" w:rsidRDefault="003B1F6D" w:rsidP="003B1F6D">
      <w:pPr>
        <w:jc w:val="left"/>
        <w:rPr>
          <w:color w:val="FF0000"/>
          <w:lang w:eastAsia="en-AU"/>
        </w:rPr>
      </w:pPr>
    </w:p>
    <w:p w14:paraId="41871052" w14:textId="6B320BD2" w:rsidR="003F4EBF" w:rsidRDefault="00631815" w:rsidP="003B1F6D">
      <w:pPr>
        <w:jc w:val="left"/>
        <w:rPr>
          <w:vanish/>
          <w:color w:val="FF0000"/>
          <w:lang w:eastAsia="en-AU"/>
        </w:rPr>
      </w:pPr>
      <w:r>
        <w:rPr>
          <w:vanish/>
          <w:color w:val="FF0000"/>
          <w:lang w:eastAsia="en-AU"/>
        </w:rPr>
        <w:t xml:space="preserve">Add a list of </w:t>
      </w:r>
      <w:r w:rsidR="0078626E">
        <w:rPr>
          <w:vanish/>
          <w:color w:val="FF0000"/>
          <w:lang w:eastAsia="en-AU"/>
        </w:rPr>
        <w:t>the dates of reports and minutes. Eg.</w:t>
      </w:r>
    </w:p>
    <w:p w14:paraId="758A0349" w14:textId="77777777" w:rsidR="0078626E" w:rsidRDefault="0078626E" w:rsidP="003B1F6D">
      <w:pPr>
        <w:jc w:val="left"/>
        <w:rPr>
          <w:vanish/>
          <w:color w:val="FF0000"/>
          <w:lang w:eastAsia="en-AU"/>
        </w:rPr>
      </w:pPr>
      <w:r>
        <w:rPr>
          <w:vanish/>
          <w:color w:val="FF0000"/>
          <w:lang w:eastAsia="en-AU"/>
        </w:rPr>
        <w:t>Report to Ordinary Meeting of Council – 26 June 2017</w:t>
      </w:r>
    </w:p>
    <w:p w14:paraId="4AACFE21" w14:textId="77777777" w:rsidR="0078626E" w:rsidRPr="004665DB" w:rsidRDefault="0078626E" w:rsidP="003B1F6D">
      <w:pPr>
        <w:jc w:val="left"/>
        <w:rPr>
          <w:vanish/>
          <w:color w:val="FF0000"/>
          <w:lang w:eastAsia="en-AU"/>
        </w:rPr>
      </w:pPr>
      <w:r>
        <w:rPr>
          <w:vanish/>
          <w:color w:val="FF0000"/>
          <w:lang w:eastAsia="en-AU"/>
        </w:rPr>
        <w:t>Minutes of Ordinary Meeting of Council – 26 June 2017</w:t>
      </w:r>
    </w:p>
    <w:p w14:paraId="4B303A26" w14:textId="4F8EE041" w:rsidR="000C459D" w:rsidRPr="00975BCF" w:rsidRDefault="0078626E" w:rsidP="003B1F6D">
      <w:pPr>
        <w:jc w:val="left"/>
      </w:pPr>
      <w:r>
        <w:t xml:space="preserve">All Council reports and minutes are accessible from Council’s website: </w:t>
      </w:r>
      <w:hyperlink r:id="rId10" w:history="1">
        <w:r w:rsidR="005015E3">
          <w:rPr>
            <w:rStyle w:val="Hyperlink"/>
          </w:rPr>
          <w:t>https://www.cessnock.nsw.gov.au/Council/Council-meetings/Minutes-agendas</w:t>
        </w:r>
      </w:hyperlink>
      <w:r w:rsidR="005015E3">
        <w:t>.</w:t>
      </w:r>
    </w:p>
    <w:p w14:paraId="5428947B" w14:textId="08395273" w:rsidR="003F0E25" w:rsidRDefault="003F0E25">
      <w:pPr>
        <w:autoSpaceDE/>
        <w:autoSpaceDN/>
        <w:adjustRightInd/>
        <w:spacing w:after="0"/>
        <w:jc w:val="left"/>
      </w:pPr>
      <w:r>
        <w:br w:type="page"/>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3F0E25" w14:paraId="066F686C" w14:textId="77777777" w:rsidTr="00637909">
        <w:tc>
          <w:tcPr>
            <w:tcW w:w="10348" w:type="dxa"/>
          </w:tcPr>
          <w:p w14:paraId="6E7BDBF9" w14:textId="54175653" w:rsidR="003F0E25" w:rsidRDefault="003F0E25" w:rsidP="00637909">
            <w:pPr>
              <w:pStyle w:val="Caption"/>
              <w:spacing w:after="0"/>
              <w:rPr>
                <w:sz w:val="36"/>
                <w:szCs w:val="36"/>
                <w:lang w:eastAsia="en-AU"/>
              </w:rPr>
            </w:pPr>
            <w:bookmarkStart w:id="43" w:name="_Toc80259545"/>
            <w:r w:rsidRPr="00BE7AC0">
              <w:rPr>
                <w:sz w:val="36"/>
                <w:szCs w:val="36"/>
                <w:lang w:eastAsia="en-AU"/>
              </w:rPr>
              <w:lastRenderedPageBreak/>
              <w:t xml:space="preserve">Appendix </w:t>
            </w:r>
            <w:r w:rsidR="007A148D" w:rsidRPr="00BE7AC0">
              <w:rPr>
                <w:sz w:val="36"/>
                <w:szCs w:val="36"/>
                <w:lang w:eastAsia="en-AU"/>
              </w:rPr>
              <w:fldChar w:fldCharType="begin"/>
            </w:r>
            <w:r w:rsidR="007A148D" w:rsidRPr="00BE7AC0">
              <w:rPr>
                <w:sz w:val="36"/>
                <w:szCs w:val="36"/>
                <w:lang w:eastAsia="en-AU"/>
              </w:rPr>
              <w:instrText xml:space="preserve"> SEQ Appendix \* ARABIC </w:instrText>
            </w:r>
            <w:r w:rsidR="007A148D" w:rsidRPr="00BE7AC0">
              <w:rPr>
                <w:sz w:val="36"/>
                <w:szCs w:val="36"/>
                <w:lang w:eastAsia="en-AU"/>
              </w:rPr>
              <w:fldChar w:fldCharType="separate"/>
            </w:r>
            <w:r w:rsidR="003D791F">
              <w:rPr>
                <w:noProof/>
                <w:sz w:val="36"/>
                <w:szCs w:val="36"/>
                <w:lang w:eastAsia="en-AU"/>
              </w:rPr>
              <w:t>2</w:t>
            </w:r>
            <w:r w:rsidR="007A148D" w:rsidRPr="00BE7AC0">
              <w:rPr>
                <w:sz w:val="36"/>
                <w:szCs w:val="36"/>
                <w:lang w:eastAsia="en-AU"/>
              </w:rPr>
              <w:fldChar w:fldCharType="end"/>
            </w:r>
            <w:r w:rsidR="007A148D">
              <w:rPr>
                <w:sz w:val="36"/>
                <w:szCs w:val="36"/>
                <w:lang w:eastAsia="en-AU"/>
              </w:rPr>
              <w:t>:</w:t>
            </w:r>
            <w:bookmarkEnd w:id="43"/>
          </w:p>
          <w:p w14:paraId="20B2CD01" w14:textId="632F4A4B" w:rsidR="003F0E25" w:rsidRPr="00BE7AC0" w:rsidRDefault="00295BCE" w:rsidP="00295BCE">
            <w:pPr>
              <w:pStyle w:val="Caption"/>
              <w:spacing w:after="0"/>
              <w:rPr>
                <w:sz w:val="36"/>
                <w:szCs w:val="36"/>
                <w:lang w:eastAsia="en-AU"/>
              </w:rPr>
            </w:pPr>
            <w:r>
              <w:rPr>
                <w:sz w:val="36"/>
                <w:szCs w:val="36"/>
                <w:lang w:eastAsia="en-AU"/>
              </w:rPr>
              <w:t>E</w:t>
            </w:r>
            <w:r w:rsidR="003F0E25">
              <w:rPr>
                <w:sz w:val="36"/>
                <w:szCs w:val="36"/>
                <w:lang w:eastAsia="en-AU"/>
              </w:rPr>
              <w:t xml:space="preserve">xisting </w:t>
            </w:r>
            <w:r>
              <w:rPr>
                <w:sz w:val="36"/>
                <w:szCs w:val="36"/>
                <w:lang w:eastAsia="en-AU"/>
              </w:rPr>
              <w:t xml:space="preserve">Land Use </w:t>
            </w:r>
            <w:r w:rsidR="003F0E25">
              <w:rPr>
                <w:sz w:val="36"/>
                <w:szCs w:val="36"/>
                <w:lang w:eastAsia="en-AU"/>
              </w:rPr>
              <w:t>Zon</w:t>
            </w:r>
            <w:r>
              <w:rPr>
                <w:sz w:val="36"/>
                <w:szCs w:val="36"/>
                <w:lang w:eastAsia="en-AU"/>
              </w:rPr>
              <w:t>e</w:t>
            </w:r>
            <w:r w:rsidR="003F0E25">
              <w:rPr>
                <w:sz w:val="36"/>
                <w:szCs w:val="36"/>
                <w:lang w:eastAsia="en-AU"/>
              </w:rPr>
              <w:t xml:space="preserve"> Map</w:t>
            </w:r>
          </w:p>
        </w:tc>
      </w:tr>
    </w:tbl>
    <w:p w14:paraId="49AC6FF5" w14:textId="20B2F69D" w:rsidR="00C64E6D" w:rsidRDefault="00C64E6D" w:rsidP="003F0E25"/>
    <w:p w14:paraId="2AA60AF3" w14:textId="101FFEF4" w:rsidR="00295BCE" w:rsidRDefault="00295BCE" w:rsidP="00295BCE">
      <w:pPr>
        <w:pStyle w:val="Caption"/>
      </w:pPr>
      <w:bookmarkStart w:id="44" w:name="_Toc80259542"/>
      <w:r>
        <w:t>101 Maitland and part of 107 Lang Street, Kurri Kurri</w:t>
      </w:r>
      <w:bookmarkEnd w:id="44"/>
    </w:p>
    <w:p w14:paraId="0CABACBF" w14:textId="352F083C" w:rsidR="003F0E25" w:rsidRPr="000C459D" w:rsidRDefault="00295BCE" w:rsidP="00295BCE">
      <w:pPr>
        <w:autoSpaceDE/>
        <w:autoSpaceDN/>
        <w:adjustRightInd/>
        <w:spacing w:after="0"/>
        <w:jc w:val="center"/>
      </w:pPr>
      <w:r>
        <w:rPr>
          <w:noProof/>
          <w:lang w:eastAsia="en-AU"/>
        </w:rPr>
        <w:drawing>
          <wp:inline distT="0" distB="0" distL="0" distR="0" wp14:anchorId="536D22F7" wp14:editId="6A0D5F52">
            <wp:extent cx="5590203" cy="8187070"/>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94948" cy="8194020"/>
                    </a:xfrm>
                    <a:prstGeom prst="rect">
                      <a:avLst/>
                    </a:prstGeom>
                  </pic:spPr>
                </pic:pic>
              </a:graphicData>
            </a:graphic>
          </wp:inline>
        </w:drawing>
      </w:r>
    </w:p>
    <w:sectPr w:rsidR="003F0E25" w:rsidRPr="000C459D" w:rsidSect="00E54DC4">
      <w:headerReference w:type="default" r:id="rId12"/>
      <w:pgSz w:w="11906" w:h="16838"/>
      <w:pgMar w:top="720" w:right="720" w:bottom="720" w:left="72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E993EA" w16cid:durableId="22775EC6"/>
  <w16cid:commentId w16cid:paraId="71F59C7F" w16cid:durableId="22775E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245DF" w14:textId="77777777" w:rsidR="00DA63B1" w:rsidRDefault="00DA63B1" w:rsidP="00A045F7">
      <w:r>
        <w:separator/>
      </w:r>
    </w:p>
    <w:p w14:paraId="708F67E8" w14:textId="77777777" w:rsidR="00DA63B1" w:rsidRDefault="00DA63B1" w:rsidP="00A045F7"/>
  </w:endnote>
  <w:endnote w:type="continuationSeparator" w:id="0">
    <w:p w14:paraId="28B096C4" w14:textId="77777777" w:rsidR="00DA63B1" w:rsidRDefault="00DA63B1" w:rsidP="00A045F7">
      <w:r>
        <w:continuationSeparator/>
      </w:r>
    </w:p>
    <w:p w14:paraId="19949999" w14:textId="77777777" w:rsidR="00DA63B1" w:rsidRDefault="00DA63B1" w:rsidP="00A04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43488" w14:textId="77777777" w:rsidR="00DA63B1" w:rsidRDefault="00DA63B1" w:rsidP="00A045F7">
      <w:r>
        <w:separator/>
      </w:r>
    </w:p>
    <w:p w14:paraId="0340198E" w14:textId="77777777" w:rsidR="00DA63B1" w:rsidRDefault="00DA63B1" w:rsidP="00A045F7"/>
  </w:footnote>
  <w:footnote w:type="continuationSeparator" w:id="0">
    <w:p w14:paraId="085828A8" w14:textId="77777777" w:rsidR="00DA63B1" w:rsidRDefault="00DA63B1" w:rsidP="00A045F7">
      <w:r>
        <w:continuationSeparator/>
      </w:r>
    </w:p>
    <w:p w14:paraId="391C576D" w14:textId="77777777" w:rsidR="00DA63B1" w:rsidRDefault="00DA63B1" w:rsidP="00A045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051DE" w14:textId="77777777" w:rsidR="00DA63B1" w:rsidRDefault="00DA63B1" w:rsidP="00A04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065"/>
    <w:multiLevelType w:val="hybridMultilevel"/>
    <w:tmpl w:val="41361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10DF0"/>
    <w:multiLevelType w:val="multilevel"/>
    <w:tmpl w:val="64A68ABE"/>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70524"/>
    <w:multiLevelType w:val="hybridMultilevel"/>
    <w:tmpl w:val="2466E8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5553C0E"/>
    <w:multiLevelType w:val="hybridMultilevel"/>
    <w:tmpl w:val="25160B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7556D4"/>
    <w:multiLevelType w:val="hybridMultilevel"/>
    <w:tmpl w:val="F3244B1C"/>
    <w:lvl w:ilvl="0" w:tplc="DDAA5D64">
      <w:start w:val="1"/>
      <w:numFmt w:val="bullet"/>
      <w:pStyle w:val="List2"/>
      <w:lvlText w:val="o"/>
      <w:lvlJc w:val="left"/>
      <w:pPr>
        <w:tabs>
          <w:tab w:val="num" w:pos="397"/>
        </w:tabs>
        <w:ind w:left="397" w:hanging="340"/>
      </w:pPr>
      <w:rPr>
        <w:rFonts w:ascii="Courier New" w:hAnsi="Courier New" w:hint="default"/>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A09FE8"/>
    <w:multiLevelType w:val="hybridMultilevel"/>
    <w:tmpl w:val="AE914C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E64A4C"/>
    <w:multiLevelType w:val="hybridMultilevel"/>
    <w:tmpl w:val="20AA943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381A59"/>
    <w:multiLevelType w:val="hybridMultilevel"/>
    <w:tmpl w:val="EC7AC5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A13124"/>
    <w:multiLevelType w:val="hybridMultilevel"/>
    <w:tmpl w:val="C6E6DB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6258DC"/>
    <w:multiLevelType w:val="hybridMultilevel"/>
    <w:tmpl w:val="60923E8A"/>
    <w:lvl w:ilvl="0" w:tplc="5E3EE3C2">
      <w:start w:val="1"/>
      <w:numFmt w:val="lowerLetter"/>
      <w:pStyle w:val="StyleBoldBefore12ptAfter6pt"/>
      <w:lvlText w:val="%1."/>
      <w:lvlJc w:val="left"/>
      <w:pPr>
        <w:tabs>
          <w:tab w:val="num" w:pos="567"/>
        </w:tabs>
        <w:ind w:left="567" w:hanging="567"/>
      </w:pPr>
      <w:rPr>
        <w:rFonts w:hint="default"/>
      </w:rPr>
    </w:lvl>
    <w:lvl w:ilvl="1" w:tplc="18AE403A">
      <w:start w:val="1"/>
      <w:numFmt w:val="lowerLetter"/>
      <w:lvlText w:val="%2."/>
      <w:lvlJc w:val="left"/>
      <w:pPr>
        <w:tabs>
          <w:tab w:val="num" w:pos="1440"/>
        </w:tabs>
        <w:ind w:left="1440" w:hanging="360"/>
      </w:pPr>
    </w:lvl>
    <w:lvl w:ilvl="2" w:tplc="4B5213FE" w:tentative="1">
      <w:start w:val="1"/>
      <w:numFmt w:val="lowerRoman"/>
      <w:lvlText w:val="%3."/>
      <w:lvlJc w:val="right"/>
      <w:pPr>
        <w:tabs>
          <w:tab w:val="num" w:pos="2160"/>
        </w:tabs>
        <w:ind w:left="2160" w:hanging="180"/>
      </w:pPr>
    </w:lvl>
    <w:lvl w:ilvl="3" w:tplc="71E2854A" w:tentative="1">
      <w:start w:val="1"/>
      <w:numFmt w:val="decimal"/>
      <w:lvlText w:val="%4."/>
      <w:lvlJc w:val="left"/>
      <w:pPr>
        <w:tabs>
          <w:tab w:val="num" w:pos="2880"/>
        </w:tabs>
        <w:ind w:left="2880" w:hanging="360"/>
      </w:pPr>
    </w:lvl>
    <w:lvl w:ilvl="4" w:tplc="FC9A2368" w:tentative="1">
      <w:start w:val="1"/>
      <w:numFmt w:val="lowerLetter"/>
      <w:lvlText w:val="%5."/>
      <w:lvlJc w:val="left"/>
      <w:pPr>
        <w:tabs>
          <w:tab w:val="num" w:pos="3600"/>
        </w:tabs>
        <w:ind w:left="3600" w:hanging="360"/>
      </w:pPr>
    </w:lvl>
    <w:lvl w:ilvl="5" w:tplc="93A004FE" w:tentative="1">
      <w:start w:val="1"/>
      <w:numFmt w:val="lowerRoman"/>
      <w:lvlText w:val="%6."/>
      <w:lvlJc w:val="right"/>
      <w:pPr>
        <w:tabs>
          <w:tab w:val="num" w:pos="4320"/>
        </w:tabs>
        <w:ind w:left="4320" w:hanging="180"/>
      </w:pPr>
    </w:lvl>
    <w:lvl w:ilvl="6" w:tplc="FA7AA1DC" w:tentative="1">
      <w:start w:val="1"/>
      <w:numFmt w:val="decimal"/>
      <w:lvlText w:val="%7."/>
      <w:lvlJc w:val="left"/>
      <w:pPr>
        <w:tabs>
          <w:tab w:val="num" w:pos="5040"/>
        </w:tabs>
        <w:ind w:left="5040" w:hanging="360"/>
      </w:pPr>
    </w:lvl>
    <w:lvl w:ilvl="7" w:tplc="0A18A3B8" w:tentative="1">
      <w:start w:val="1"/>
      <w:numFmt w:val="lowerLetter"/>
      <w:lvlText w:val="%8."/>
      <w:lvlJc w:val="left"/>
      <w:pPr>
        <w:tabs>
          <w:tab w:val="num" w:pos="5760"/>
        </w:tabs>
        <w:ind w:left="5760" w:hanging="360"/>
      </w:pPr>
    </w:lvl>
    <w:lvl w:ilvl="8" w:tplc="7936AE26" w:tentative="1">
      <w:start w:val="1"/>
      <w:numFmt w:val="lowerRoman"/>
      <w:lvlText w:val="%9."/>
      <w:lvlJc w:val="right"/>
      <w:pPr>
        <w:tabs>
          <w:tab w:val="num" w:pos="6480"/>
        </w:tabs>
        <w:ind w:left="6480" w:hanging="180"/>
      </w:pPr>
    </w:lvl>
  </w:abstractNum>
  <w:abstractNum w:abstractNumId="10" w15:restartNumberingAfterBreak="0">
    <w:nsid w:val="2A5411D3"/>
    <w:multiLevelType w:val="hybridMultilevel"/>
    <w:tmpl w:val="1BB2DB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CD4291"/>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1356200"/>
    <w:multiLevelType w:val="hybridMultilevel"/>
    <w:tmpl w:val="848C67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6643CDD"/>
    <w:multiLevelType w:val="hybridMultilevel"/>
    <w:tmpl w:val="506213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E50AEA"/>
    <w:multiLevelType w:val="multilevel"/>
    <w:tmpl w:val="C9F0B7A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AF55306"/>
    <w:multiLevelType w:val="hybridMultilevel"/>
    <w:tmpl w:val="CA26A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EE1ED8"/>
    <w:multiLevelType w:val="hybridMultilevel"/>
    <w:tmpl w:val="D7DCB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DF216F"/>
    <w:multiLevelType w:val="multilevel"/>
    <w:tmpl w:val="22BAAF3A"/>
    <w:lvl w:ilvl="0">
      <w:start w:val="1"/>
      <w:numFmt w:val="decimal"/>
      <w:pStyle w:val="Heading3"/>
      <w:lvlText w:val="%1"/>
      <w:lvlJc w:val="left"/>
      <w:pPr>
        <w:tabs>
          <w:tab w:val="num" w:pos="360"/>
        </w:tabs>
        <w:ind w:left="360" w:hanging="360"/>
      </w:pPr>
      <w:rPr>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FDA12B5"/>
    <w:multiLevelType w:val="multilevel"/>
    <w:tmpl w:val="236646AC"/>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0546E11"/>
    <w:multiLevelType w:val="hybridMultilevel"/>
    <w:tmpl w:val="003A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232C72"/>
    <w:multiLevelType w:val="hybridMultilevel"/>
    <w:tmpl w:val="76EE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7C3CBA"/>
    <w:multiLevelType w:val="hybridMultilevel"/>
    <w:tmpl w:val="E926F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7A037B"/>
    <w:multiLevelType w:val="hybridMultilevel"/>
    <w:tmpl w:val="48B6C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D266C0"/>
    <w:multiLevelType w:val="hybridMultilevel"/>
    <w:tmpl w:val="5DA05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FC304D"/>
    <w:multiLevelType w:val="multilevel"/>
    <w:tmpl w:val="4F109BE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B052ECD"/>
    <w:multiLevelType w:val="hybridMultilevel"/>
    <w:tmpl w:val="4D58C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A00BC6"/>
    <w:multiLevelType w:val="hybridMultilevel"/>
    <w:tmpl w:val="D12A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7B4869"/>
    <w:multiLevelType w:val="multilevel"/>
    <w:tmpl w:val="105E52AC"/>
    <w:lvl w:ilvl="0">
      <w:start w:val="5"/>
      <w:numFmt w:val="decimal"/>
      <w:lvlText w:val="%1."/>
      <w:lvlJc w:val="left"/>
      <w:pPr>
        <w:ind w:left="720" w:hanging="360"/>
      </w:pPr>
      <w:rPr>
        <w:rFonts w:hint="default"/>
      </w:rPr>
    </w:lvl>
    <w:lvl w:ilvl="1">
      <w:start w:val="10"/>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4"/>
  </w:num>
  <w:num w:numId="3">
    <w:abstractNumId w:val="11"/>
  </w:num>
  <w:num w:numId="4">
    <w:abstractNumId w:val="17"/>
  </w:num>
  <w:num w:numId="5">
    <w:abstractNumId w:val="23"/>
  </w:num>
  <w:num w:numId="6">
    <w:abstractNumId w:val="14"/>
  </w:num>
  <w:num w:numId="7">
    <w:abstractNumId w:val="24"/>
  </w:num>
  <w:num w:numId="8">
    <w:abstractNumId w:val="27"/>
  </w:num>
  <w:num w:numId="9">
    <w:abstractNumId w:val="1"/>
  </w:num>
  <w:num w:numId="10">
    <w:abstractNumId w:val="18"/>
  </w:num>
  <w:num w:numId="11">
    <w:abstractNumId w:val="22"/>
  </w:num>
  <w:num w:numId="12">
    <w:abstractNumId w:val="25"/>
  </w:num>
  <w:num w:numId="13">
    <w:abstractNumId w:val="20"/>
  </w:num>
  <w:num w:numId="14">
    <w:abstractNumId w:val="26"/>
  </w:num>
  <w:num w:numId="15">
    <w:abstractNumId w:val="15"/>
  </w:num>
  <w:num w:numId="16">
    <w:abstractNumId w:val="21"/>
  </w:num>
  <w:num w:numId="17">
    <w:abstractNumId w:val="12"/>
  </w:num>
  <w:num w:numId="18">
    <w:abstractNumId w:val="3"/>
  </w:num>
  <w:num w:numId="19">
    <w:abstractNumId w:val="7"/>
  </w:num>
  <w:num w:numId="20">
    <w:abstractNumId w:val="0"/>
  </w:num>
  <w:num w:numId="21">
    <w:abstractNumId w:val="10"/>
  </w:num>
  <w:num w:numId="22">
    <w:abstractNumId w:val="6"/>
  </w:num>
  <w:num w:numId="23">
    <w:abstractNumId w:val="19"/>
  </w:num>
  <w:num w:numId="24">
    <w:abstractNumId w:val="2"/>
  </w:num>
  <w:num w:numId="25">
    <w:abstractNumId w:val="5"/>
  </w:num>
  <w:num w:numId="26">
    <w:abstractNumId w:val="13"/>
  </w:num>
  <w:num w:numId="27">
    <w:abstractNumId w:val="8"/>
  </w:num>
  <w:num w:numId="2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56"/>
    <w:rsid w:val="00000E96"/>
    <w:rsid w:val="000046D9"/>
    <w:rsid w:val="0001009A"/>
    <w:rsid w:val="00010937"/>
    <w:rsid w:val="00015C70"/>
    <w:rsid w:val="00015D0F"/>
    <w:rsid w:val="000172A5"/>
    <w:rsid w:val="00017B55"/>
    <w:rsid w:val="00020673"/>
    <w:rsid w:val="0002520A"/>
    <w:rsid w:val="00026551"/>
    <w:rsid w:val="0003235A"/>
    <w:rsid w:val="00036826"/>
    <w:rsid w:val="00037DD6"/>
    <w:rsid w:val="000446E8"/>
    <w:rsid w:val="00045A99"/>
    <w:rsid w:val="0005128B"/>
    <w:rsid w:val="00054380"/>
    <w:rsid w:val="000559F4"/>
    <w:rsid w:val="00064190"/>
    <w:rsid w:val="0007499D"/>
    <w:rsid w:val="00076474"/>
    <w:rsid w:val="0008007D"/>
    <w:rsid w:val="00087A8F"/>
    <w:rsid w:val="00092457"/>
    <w:rsid w:val="0009346D"/>
    <w:rsid w:val="000A658E"/>
    <w:rsid w:val="000A7DEF"/>
    <w:rsid w:val="000B2340"/>
    <w:rsid w:val="000B3C90"/>
    <w:rsid w:val="000B408F"/>
    <w:rsid w:val="000B4232"/>
    <w:rsid w:val="000C459D"/>
    <w:rsid w:val="000D03FA"/>
    <w:rsid w:val="000D4A1C"/>
    <w:rsid w:val="000D68D6"/>
    <w:rsid w:val="000E02C6"/>
    <w:rsid w:val="000E03E2"/>
    <w:rsid w:val="000E074A"/>
    <w:rsid w:val="000E1106"/>
    <w:rsid w:val="000E1EF9"/>
    <w:rsid w:val="000E3604"/>
    <w:rsid w:val="000F3D02"/>
    <w:rsid w:val="0010239C"/>
    <w:rsid w:val="00105A90"/>
    <w:rsid w:val="00105B4D"/>
    <w:rsid w:val="00110F76"/>
    <w:rsid w:val="0011174B"/>
    <w:rsid w:val="00115321"/>
    <w:rsid w:val="00117698"/>
    <w:rsid w:val="00130B03"/>
    <w:rsid w:val="001332D4"/>
    <w:rsid w:val="00135B7F"/>
    <w:rsid w:val="00137FE6"/>
    <w:rsid w:val="00140510"/>
    <w:rsid w:val="00141D2F"/>
    <w:rsid w:val="0014457A"/>
    <w:rsid w:val="00146E86"/>
    <w:rsid w:val="001509B6"/>
    <w:rsid w:val="00150DED"/>
    <w:rsid w:val="00152B14"/>
    <w:rsid w:val="0015618E"/>
    <w:rsid w:val="00160968"/>
    <w:rsid w:val="00171555"/>
    <w:rsid w:val="001767D1"/>
    <w:rsid w:val="00177BE1"/>
    <w:rsid w:val="00187EC1"/>
    <w:rsid w:val="001903C3"/>
    <w:rsid w:val="00195634"/>
    <w:rsid w:val="001B2FC6"/>
    <w:rsid w:val="001B516D"/>
    <w:rsid w:val="001C5F51"/>
    <w:rsid w:val="001D0446"/>
    <w:rsid w:val="001E204E"/>
    <w:rsid w:val="001E34F7"/>
    <w:rsid w:val="001E5B5A"/>
    <w:rsid w:val="001F18C5"/>
    <w:rsid w:val="001F3E2C"/>
    <w:rsid w:val="001F4164"/>
    <w:rsid w:val="001F490E"/>
    <w:rsid w:val="00207BD2"/>
    <w:rsid w:val="00216351"/>
    <w:rsid w:val="00222D32"/>
    <w:rsid w:val="0022536B"/>
    <w:rsid w:val="00227447"/>
    <w:rsid w:val="002327D9"/>
    <w:rsid w:val="00235182"/>
    <w:rsid w:val="0023557A"/>
    <w:rsid w:val="002365FD"/>
    <w:rsid w:val="00241D05"/>
    <w:rsid w:val="00247E6E"/>
    <w:rsid w:val="00250487"/>
    <w:rsid w:val="00250CA0"/>
    <w:rsid w:val="00252092"/>
    <w:rsid w:val="00260871"/>
    <w:rsid w:val="00270750"/>
    <w:rsid w:val="00277170"/>
    <w:rsid w:val="0027734F"/>
    <w:rsid w:val="00282496"/>
    <w:rsid w:val="00283629"/>
    <w:rsid w:val="0028590C"/>
    <w:rsid w:val="002879C9"/>
    <w:rsid w:val="00292897"/>
    <w:rsid w:val="00295BCE"/>
    <w:rsid w:val="002A2CD3"/>
    <w:rsid w:val="002A6095"/>
    <w:rsid w:val="002A70B6"/>
    <w:rsid w:val="002B238B"/>
    <w:rsid w:val="002B4A8F"/>
    <w:rsid w:val="002B4CBF"/>
    <w:rsid w:val="002C3223"/>
    <w:rsid w:val="002C4F98"/>
    <w:rsid w:val="002C7166"/>
    <w:rsid w:val="002D00C5"/>
    <w:rsid w:val="002D3DBB"/>
    <w:rsid w:val="002D41E3"/>
    <w:rsid w:val="002D59F9"/>
    <w:rsid w:val="002F127C"/>
    <w:rsid w:val="002F1F93"/>
    <w:rsid w:val="002F271A"/>
    <w:rsid w:val="002F3458"/>
    <w:rsid w:val="002F5884"/>
    <w:rsid w:val="00300009"/>
    <w:rsid w:val="0030024E"/>
    <w:rsid w:val="0030679D"/>
    <w:rsid w:val="00311C4D"/>
    <w:rsid w:val="00313521"/>
    <w:rsid w:val="003138CD"/>
    <w:rsid w:val="00320310"/>
    <w:rsid w:val="00335A0B"/>
    <w:rsid w:val="003421ED"/>
    <w:rsid w:val="003471A0"/>
    <w:rsid w:val="0034740D"/>
    <w:rsid w:val="00351395"/>
    <w:rsid w:val="00351BD8"/>
    <w:rsid w:val="00371D56"/>
    <w:rsid w:val="00376FBF"/>
    <w:rsid w:val="003824AD"/>
    <w:rsid w:val="00383C01"/>
    <w:rsid w:val="00385E19"/>
    <w:rsid w:val="003941A5"/>
    <w:rsid w:val="0039598E"/>
    <w:rsid w:val="003A2260"/>
    <w:rsid w:val="003A4545"/>
    <w:rsid w:val="003B1F6D"/>
    <w:rsid w:val="003B62B8"/>
    <w:rsid w:val="003C7AB1"/>
    <w:rsid w:val="003D29D2"/>
    <w:rsid w:val="003D4ADD"/>
    <w:rsid w:val="003D4D11"/>
    <w:rsid w:val="003D59C4"/>
    <w:rsid w:val="003D5D53"/>
    <w:rsid w:val="003D791F"/>
    <w:rsid w:val="003F0E25"/>
    <w:rsid w:val="003F31D9"/>
    <w:rsid w:val="003F4028"/>
    <w:rsid w:val="003F49EC"/>
    <w:rsid w:val="003F4EBF"/>
    <w:rsid w:val="003F5E59"/>
    <w:rsid w:val="00405850"/>
    <w:rsid w:val="004061BA"/>
    <w:rsid w:val="00412205"/>
    <w:rsid w:val="00414C43"/>
    <w:rsid w:val="00420E4B"/>
    <w:rsid w:val="00422C12"/>
    <w:rsid w:val="0042369F"/>
    <w:rsid w:val="00423D33"/>
    <w:rsid w:val="00431D4F"/>
    <w:rsid w:val="004405B7"/>
    <w:rsid w:val="0044774E"/>
    <w:rsid w:val="00461CED"/>
    <w:rsid w:val="00462CF0"/>
    <w:rsid w:val="004665DB"/>
    <w:rsid w:val="00467C04"/>
    <w:rsid w:val="0049011F"/>
    <w:rsid w:val="00493FFB"/>
    <w:rsid w:val="004A05CB"/>
    <w:rsid w:val="004A73DB"/>
    <w:rsid w:val="004B0F52"/>
    <w:rsid w:val="004B0FED"/>
    <w:rsid w:val="004B2781"/>
    <w:rsid w:val="004B585B"/>
    <w:rsid w:val="004C2AB7"/>
    <w:rsid w:val="004C2D41"/>
    <w:rsid w:val="004C2D9F"/>
    <w:rsid w:val="004D3120"/>
    <w:rsid w:val="004E1A30"/>
    <w:rsid w:val="004E2FB5"/>
    <w:rsid w:val="004E3ACD"/>
    <w:rsid w:val="004E492E"/>
    <w:rsid w:val="004E63EF"/>
    <w:rsid w:val="004F56A7"/>
    <w:rsid w:val="005015E3"/>
    <w:rsid w:val="00506771"/>
    <w:rsid w:val="00506D83"/>
    <w:rsid w:val="00507000"/>
    <w:rsid w:val="005101C2"/>
    <w:rsid w:val="00526ACD"/>
    <w:rsid w:val="00530930"/>
    <w:rsid w:val="00531708"/>
    <w:rsid w:val="00537DFA"/>
    <w:rsid w:val="005435EE"/>
    <w:rsid w:val="0054457D"/>
    <w:rsid w:val="00545D4F"/>
    <w:rsid w:val="005557C7"/>
    <w:rsid w:val="00567D74"/>
    <w:rsid w:val="00571266"/>
    <w:rsid w:val="00573AA1"/>
    <w:rsid w:val="005833AF"/>
    <w:rsid w:val="005868DB"/>
    <w:rsid w:val="005938AE"/>
    <w:rsid w:val="00594D22"/>
    <w:rsid w:val="00597315"/>
    <w:rsid w:val="005A16BD"/>
    <w:rsid w:val="005A2623"/>
    <w:rsid w:val="005B0D83"/>
    <w:rsid w:val="005B3A9F"/>
    <w:rsid w:val="005C2702"/>
    <w:rsid w:val="005C6EC3"/>
    <w:rsid w:val="005C7D1A"/>
    <w:rsid w:val="005D0689"/>
    <w:rsid w:val="005D53B6"/>
    <w:rsid w:val="005D77C5"/>
    <w:rsid w:val="005E11C9"/>
    <w:rsid w:val="005E3037"/>
    <w:rsid w:val="005F310A"/>
    <w:rsid w:val="005F405E"/>
    <w:rsid w:val="006008AA"/>
    <w:rsid w:val="00602E8C"/>
    <w:rsid w:val="006077C0"/>
    <w:rsid w:val="00610451"/>
    <w:rsid w:val="00611C40"/>
    <w:rsid w:val="00612EA9"/>
    <w:rsid w:val="00613247"/>
    <w:rsid w:val="0061433A"/>
    <w:rsid w:val="006158CB"/>
    <w:rsid w:val="00621585"/>
    <w:rsid w:val="00631815"/>
    <w:rsid w:val="006366C4"/>
    <w:rsid w:val="00637909"/>
    <w:rsid w:val="00642F79"/>
    <w:rsid w:val="00660018"/>
    <w:rsid w:val="006628F9"/>
    <w:rsid w:val="006727FD"/>
    <w:rsid w:val="006822D2"/>
    <w:rsid w:val="0068318F"/>
    <w:rsid w:val="00683D71"/>
    <w:rsid w:val="00691D2D"/>
    <w:rsid w:val="006A5A90"/>
    <w:rsid w:val="006A64F4"/>
    <w:rsid w:val="006B21A8"/>
    <w:rsid w:val="006B29AE"/>
    <w:rsid w:val="006B3110"/>
    <w:rsid w:val="006B5068"/>
    <w:rsid w:val="006C1196"/>
    <w:rsid w:val="006C6CEC"/>
    <w:rsid w:val="006D072A"/>
    <w:rsid w:val="006D2EB9"/>
    <w:rsid w:val="006E3DBF"/>
    <w:rsid w:val="006E7CFA"/>
    <w:rsid w:val="006F25DB"/>
    <w:rsid w:val="006F2722"/>
    <w:rsid w:val="006F4F27"/>
    <w:rsid w:val="006F5368"/>
    <w:rsid w:val="006F538A"/>
    <w:rsid w:val="00702700"/>
    <w:rsid w:val="00702970"/>
    <w:rsid w:val="007048DD"/>
    <w:rsid w:val="007075EC"/>
    <w:rsid w:val="00712437"/>
    <w:rsid w:val="00714E34"/>
    <w:rsid w:val="00721775"/>
    <w:rsid w:val="00722359"/>
    <w:rsid w:val="007230B6"/>
    <w:rsid w:val="007249A4"/>
    <w:rsid w:val="00727144"/>
    <w:rsid w:val="00731502"/>
    <w:rsid w:val="00731D26"/>
    <w:rsid w:val="0074015F"/>
    <w:rsid w:val="007421BC"/>
    <w:rsid w:val="007476E8"/>
    <w:rsid w:val="00753F19"/>
    <w:rsid w:val="0076740F"/>
    <w:rsid w:val="00770295"/>
    <w:rsid w:val="007733E5"/>
    <w:rsid w:val="0077644C"/>
    <w:rsid w:val="007808FC"/>
    <w:rsid w:val="007809BE"/>
    <w:rsid w:val="00783B99"/>
    <w:rsid w:val="0078626E"/>
    <w:rsid w:val="00790289"/>
    <w:rsid w:val="00793C86"/>
    <w:rsid w:val="007959D6"/>
    <w:rsid w:val="00797DE9"/>
    <w:rsid w:val="007A148D"/>
    <w:rsid w:val="007B3703"/>
    <w:rsid w:val="007B6B91"/>
    <w:rsid w:val="007B7138"/>
    <w:rsid w:val="007C01A8"/>
    <w:rsid w:val="007C2C38"/>
    <w:rsid w:val="007C4D1E"/>
    <w:rsid w:val="007C55AB"/>
    <w:rsid w:val="007C5619"/>
    <w:rsid w:val="007C62D4"/>
    <w:rsid w:val="007C6E0B"/>
    <w:rsid w:val="007D1E2C"/>
    <w:rsid w:val="007D6E39"/>
    <w:rsid w:val="007E2071"/>
    <w:rsid w:val="007F34A4"/>
    <w:rsid w:val="008069C1"/>
    <w:rsid w:val="0081002D"/>
    <w:rsid w:val="0081149E"/>
    <w:rsid w:val="008148C2"/>
    <w:rsid w:val="00814A06"/>
    <w:rsid w:val="00827473"/>
    <w:rsid w:val="0083108C"/>
    <w:rsid w:val="0083184B"/>
    <w:rsid w:val="00836BC2"/>
    <w:rsid w:val="00842FF7"/>
    <w:rsid w:val="008463BD"/>
    <w:rsid w:val="008578E4"/>
    <w:rsid w:val="00862AB2"/>
    <w:rsid w:val="00863A26"/>
    <w:rsid w:val="00873634"/>
    <w:rsid w:val="00875F07"/>
    <w:rsid w:val="00876078"/>
    <w:rsid w:val="00881030"/>
    <w:rsid w:val="008811BE"/>
    <w:rsid w:val="00883C3D"/>
    <w:rsid w:val="00886585"/>
    <w:rsid w:val="008866C8"/>
    <w:rsid w:val="00887956"/>
    <w:rsid w:val="00894C3A"/>
    <w:rsid w:val="008A0416"/>
    <w:rsid w:val="008A1631"/>
    <w:rsid w:val="008A40B4"/>
    <w:rsid w:val="008A745E"/>
    <w:rsid w:val="008A7B33"/>
    <w:rsid w:val="008B0DBE"/>
    <w:rsid w:val="008B15F3"/>
    <w:rsid w:val="008B2DC7"/>
    <w:rsid w:val="008B4F50"/>
    <w:rsid w:val="008B7FA8"/>
    <w:rsid w:val="008C6ABC"/>
    <w:rsid w:val="008C729A"/>
    <w:rsid w:val="008D05E3"/>
    <w:rsid w:val="008D51A4"/>
    <w:rsid w:val="008D6864"/>
    <w:rsid w:val="008D6B83"/>
    <w:rsid w:val="008E03A6"/>
    <w:rsid w:val="008E5E69"/>
    <w:rsid w:val="008E644F"/>
    <w:rsid w:val="008F0ACD"/>
    <w:rsid w:val="008F4025"/>
    <w:rsid w:val="009008A1"/>
    <w:rsid w:val="00901345"/>
    <w:rsid w:val="00901633"/>
    <w:rsid w:val="00902F9C"/>
    <w:rsid w:val="0090328B"/>
    <w:rsid w:val="00906D88"/>
    <w:rsid w:val="009206F2"/>
    <w:rsid w:val="00926D46"/>
    <w:rsid w:val="009354A7"/>
    <w:rsid w:val="009368B8"/>
    <w:rsid w:val="00950697"/>
    <w:rsid w:val="00973D21"/>
    <w:rsid w:val="00974087"/>
    <w:rsid w:val="00975BCF"/>
    <w:rsid w:val="00987E85"/>
    <w:rsid w:val="009919EA"/>
    <w:rsid w:val="009930BC"/>
    <w:rsid w:val="00997DBE"/>
    <w:rsid w:val="009A1BA1"/>
    <w:rsid w:val="009A3CD8"/>
    <w:rsid w:val="009A69CC"/>
    <w:rsid w:val="009A7B8C"/>
    <w:rsid w:val="009B0262"/>
    <w:rsid w:val="009B0A9B"/>
    <w:rsid w:val="009B55DB"/>
    <w:rsid w:val="009B76C9"/>
    <w:rsid w:val="009C2FCC"/>
    <w:rsid w:val="009C5DC3"/>
    <w:rsid w:val="009C616A"/>
    <w:rsid w:val="009C7A6A"/>
    <w:rsid w:val="009C7CE9"/>
    <w:rsid w:val="009D263C"/>
    <w:rsid w:val="009E03B1"/>
    <w:rsid w:val="009E0C80"/>
    <w:rsid w:val="009E13F5"/>
    <w:rsid w:val="009E3BF1"/>
    <w:rsid w:val="009F3CCE"/>
    <w:rsid w:val="009F6614"/>
    <w:rsid w:val="00A045F7"/>
    <w:rsid w:val="00A056D1"/>
    <w:rsid w:val="00A0678E"/>
    <w:rsid w:val="00A06C1E"/>
    <w:rsid w:val="00A07F9D"/>
    <w:rsid w:val="00A13887"/>
    <w:rsid w:val="00A155DD"/>
    <w:rsid w:val="00A16A9A"/>
    <w:rsid w:val="00A20934"/>
    <w:rsid w:val="00A20CD5"/>
    <w:rsid w:val="00A21B23"/>
    <w:rsid w:val="00A21B83"/>
    <w:rsid w:val="00A2385F"/>
    <w:rsid w:val="00A25EC2"/>
    <w:rsid w:val="00A30897"/>
    <w:rsid w:val="00A35663"/>
    <w:rsid w:val="00A40422"/>
    <w:rsid w:val="00A43903"/>
    <w:rsid w:val="00A4677D"/>
    <w:rsid w:val="00A552FF"/>
    <w:rsid w:val="00A56064"/>
    <w:rsid w:val="00A566FD"/>
    <w:rsid w:val="00A62109"/>
    <w:rsid w:val="00A6337E"/>
    <w:rsid w:val="00A6369B"/>
    <w:rsid w:val="00A76C84"/>
    <w:rsid w:val="00A808B9"/>
    <w:rsid w:val="00A81048"/>
    <w:rsid w:val="00A83EB3"/>
    <w:rsid w:val="00A84171"/>
    <w:rsid w:val="00A85CBE"/>
    <w:rsid w:val="00A85D7C"/>
    <w:rsid w:val="00A931F4"/>
    <w:rsid w:val="00A95B16"/>
    <w:rsid w:val="00A96549"/>
    <w:rsid w:val="00AA196B"/>
    <w:rsid w:val="00AA1D14"/>
    <w:rsid w:val="00AA1F3F"/>
    <w:rsid w:val="00AA38CD"/>
    <w:rsid w:val="00AB3994"/>
    <w:rsid w:val="00AB6D66"/>
    <w:rsid w:val="00AC2E21"/>
    <w:rsid w:val="00AC52A8"/>
    <w:rsid w:val="00AD0CEF"/>
    <w:rsid w:val="00AE2B42"/>
    <w:rsid w:val="00AE6F6E"/>
    <w:rsid w:val="00AF2950"/>
    <w:rsid w:val="00AF31D6"/>
    <w:rsid w:val="00B01798"/>
    <w:rsid w:val="00B018F9"/>
    <w:rsid w:val="00B0261C"/>
    <w:rsid w:val="00B208AF"/>
    <w:rsid w:val="00B20AE1"/>
    <w:rsid w:val="00B2498F"/>
    <w:rsid w:val="00B26ADC"/>
    <w:rsid w:val="00B30014"/>
    <w:rsid w:val="00B325D5"/>
    <w:rsid w:val="00B411F2"/>
    <w:rsid w:val="00B419C5"/>
    <w:rsid w:val="00B423A9"/>
    <w:rsid w:val="00B4278D"/>
    <w:rsid w:val="00B42A9D"/>
    <w:rsid w:val="00B44883"/>
    <w:rsid w:val="00B47C76"/>
    <w:rsid w:val="00B50E15"/>
    <w:rsid w:val="00B60C9F"/>
    <w:rsid w:val="00B65777"/>
    <w:rsid w:val="00B70400"/>
    <w:rsid w:val="00B73E04"/>
    <w:rsid w:val="00B74186"/>
    <w:rsid w:val="00B8046D"/>
    <w:rsid w:val="00B80B2E"/>
    <w:rsid w:val="00B8170B"/>
    <w:rsid w:val="00B81FAA"/>
    <w:rsid w:val="00B951E5"/>
    <w:rsid w:val="00BA0807"/>
    <w:rsid w:val="00BA330F"/>
    <w:rsid w:val="00BB295F"/>
    <w:rsid w:val="00BB4466"/>
    <w:rsid w:val="00BC52CC"/>
    <w:rsid w:val="00BC7B03"/>
    <w:rsid w:val="00BD2550"/>
    <w:rsid w:val="00BE784C"/>
    <w:rsid w:val="00BE7AC0"/>
    <w:rsid w:val="00BF05EE"/>
    <w:rsid w:val="00BF0C29"/>
    <w:rsid w:val="00BF3AB4"/>
    <w:rsid w:val="00BF4B7A"/>
    <w:rsid w:val="00C008FD"/>
    <w:rsid w:val="00C02338"/>
    <w:rsid w:val="00C02F37"/>
    <w:rsid w:val="00C0314F"/>
    <w:rsid w:val="00C07CD0"/>
    <w:rsid w:val="00C17F8A"/>
    <w:rsid w:val="00C3634D"/>
    <w:rsid w:val="00C3717A"/>
    <w:rsid w:val="00C41BA2"/>
    <w:rsid w:val="00C41F6C"/>
    <w:rsid w:val="00C435D8"/>
    <w:rsid w:val="00C4393C"/>
    <w:rsid w:val="00C511BA"/>
    <w:rsid w:val="00C526B7"/>
    <w:rsid w:val="00C52F3C"/>
    <w:rsid w:val="00C572B7"/>
    <w:rsid w:val="00C57DB4"/>
    <w:rsid w:val="00C62EB5"/>
    <w:rsid w:val="00C64BE6"/>
    <w:rsid w:val="00C64E6D"/>
    <w:rsid w:val="00C64EB3"/>
    <w:rsid w:val="00C71A91"/>
    <w:rsid w:val="00C71C07"/>
    <w:rsid w:val="00C73F8E"/>
    <w:rsid w:val="00C7443C"/>
    <w:rsid w:val="00C820AC"/>
    <w:rsid w:val="00CA085A"/>
    <w:rsid w:val="00CA3AB4"/>
    <w:rsid w:val="00CA3CD7"/>
    <w:rsid w:val="00CA7125"/>
    <w:rsid w:val="00CB3CBB"/>
    <w:rsid w:val="00CC4E44"/>
    <w:rsid w:val="00CD1686"/>
    <w:rsid w:val="00CD1844"/>
    <w:rsid w:val="00CE2189"/>
    <w:rsid w:val="00CE34D2"/>
    <w:rsid w:val="00CE372A"/>
    <w:rsid w:val="00CE3BAB"/>
    <w:rsid w:val="00CE6E14"/>
    <w:rsid w:val="00CF240E"/>
    <w:rsid w:val="00CF5A80"/>
    <w:rsid w:val="00D0021A"/>
    <w:rsid w:val="00D0197F"/>
    <w:rsid w:val="00D060D3"/>
    <w:rsid w:val="00D06D81"/>
    <w:rsid w:val="00D10008"/>
    <w:rsid w:val="00D1049C"/>
    <w:rsid w:val="00D107EC"/>
    <w:rsid w:val="00D21E61"/>
    <w:rsid w:val="00D44DDA"/>
    <w:rsid w:val="00D53EE8"/>
    <w:rsid w:val="00D5462C"/>
    <w:rsid w:val="00D550FC"/>
    <w:rsid w:val="00D576A8"/>
    <w:rsid w:val="00D625F6"/>
    <w:rsid w:val="00D6693E"/>
    <w:rsid w:val="00D76F57"/>
    <w:rsid w:val="00D83C8B"/>
    <w:rsid w:val="00D84342"/>
    <w:rsid w:val="00D950E4"/>
    <w:rsid w:val="00D96878"/>
    <w:rsid w:val="00DA4A7C"/>
    <w:rsid w:val="00DA63B1"/>
    <w:rsid w:val="00DA782E"/>
    <w:rsid w:val="00DB08D5"/>
    <w:rsid w:val="00DB4863"/>
    <w:rsid w:val="00DB64FF"/>
    <w:rsid w:val="00DC0FED"/>
    <w:rsid w:val="00DC19F0"/>
    <w:rsid w:val="00DC4B75"/>
    <w:rsid w:val="00DD28D6"/>
    <w:rsid w:val="00DD3337"/>
    <w:rsid w:val="00DD482E"/>
    <w:rsid w:val="00DD566C"/>
    <w:rsid w:val="00DD56BC"/>
    <w:rsid w:val="00DE2B52"/>
    <w:rsid w:val="00DE2DCE"/>
    <w:rsid w:val="00DF6D03"/>
    <w:rsid w:val="00E10FA2"/>
    <w:rsid w:val="00E15A35"/>
    <w:rsid w:val="00E2087F"/>
    <w:rsid w:val="00E25F25"/>
    <w:rsid w:val="00E26FE2"/>
    <w:rsid w:val="00E32473"/>
    <w:rsid w:val="00E527D0"/>
    <w:rsid w:val="00E5380B"/>
    <w:rsid w:val="00E54DC4"/>
    <w:rsid w:val="00E55864"/>
    <w:rsid w:val="00E5644D"/>
    <w:rsid w:val="00E6127A"/>
    <w:rsid w:val="00E75538"/>
    <w:rsid w:val="00E900E5"/>
    <w:rsid w:val="00EA169B"/>
    <w:rsid w:val="00EA6524"/>
    <w:rsid w:val="00EB55A0"/>
    <w:rsid w:val="00EB5D0D"/>
    <w:rsid w:val="00EC190E"/>
    <w:rsid w:val="00EC2FBD"/>
    <w:rsid w:val="00EC7221"/>
    <w:rsid w:val="00EC737A"/>
    <w:rsid w:val="00ED19B7"/>
    <w:rsid w:val="00ED3581"/>
    <w:rsid w:val="00ED5B76"/>
    <w:rsid w:val="00EE2591"/>
    <w:rsid w:val="00EE288F"/>
    <w:rsid w:val="00EE3CFF"/>
    <w:rsid w:val="00F05278"/>
    <w:rsid w:val="00F0679A"/>
    <w:rsid w:val="00F11A07"/>
    <w:rsid w:val="00F16A2B"/>
    <w:rsid w:val="00F2331B"/>
    <w:rsid w:val="00F23FA8"/>
    <w:rsid w:val="00F2592E"/>
    <w:rsid w:val="00F32E8C"/>
    <w:rsid w:val="00F348B5"/>
    <w:rsid w:val="00F3563E"/>
    <w:rsid w:val="00F42EC8"/>
    <w:rsid w:val="00F53260"/>
    <w:rsid w:val="00F54DD3"/>
    <w:rsid w:val="00F62CD9"/>
    <w:rsid w:val="00F62E8F"/>
    <w:rsid w:val="00F6334E"/>
    <w:rsid w:val="00F66283"/>
    <w:rsid w:val="00F67392"/>
    <w:rsid w:val="00F728E3"/>
    <w:rsid w:val="00F7396F"/>
    <w:rsid w:val="00F96E85"/>
    <w:rsid w:val="00F96FC1"/>
    <w:rsid w:val="00F97E98"/>
    <w:rsid w:val="00FA03BF"/>
    <w:rsid w:val="00FA1771"/>
    <w:rsid w:val="00FA4960"/>
    <w:rsid w:val="00FA612C"/>
    <w:rsid w:val="00FB3972"/>
    <w:rsid w:val="00FB43FB"/>
    <w:rsid w:val="00FB49AA"/>
    <w:rsid w:val="00FB523A"/>
    <w:rsid w:val="00FC5AD6"/>
    <w:rsid w:val="00FC6C3F"/>
    <w:rsid w:val="00FC6D63"/>
    <w:rsid w:val="00FD01BA"/>
    <w:rsid w:val="00FD1ABB"/>
    <w:rsid w:val="00FD232B"/>
    <w:rsid w:val="00FD350C"/>
    <w:rsid w:val="00FD39E0"/>
    <w:rsid w:val="00FD5C73"/>
    <w:rsid w:val="00FD67A8"/>
    <w:rsid w:val="00FD7249"/>
    <w:rsid w:val="00FE190D"/>
    <w:rsid w:val="00FE2966"/>
    <w:rsid w:val="00FE2DC5"/>
    <w:rsid w:val="00FE2E96"/>
    <w:rsid w:val="00FE68EA"/>
    <w:rsid w:val="00FF0834"/>
    <w:rsid w:val="00FF3935"/>
    <w:rsid w:val="00FF75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B34D00D"/>
  <w15:docId w15:val="{402916C8-F2FE-4F4F-9AE4-8166BE6F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E25"/>
    <w:pPr>
      <w:autoSpaceDE w:val="0"/>
      <w:autoSpaceDN w:val="0"/>
      <w:adjustRightInd w:val="0"/>
      <w:spacing w:after="240"/>
      <w:jc w:val="both"/>
    </w:pPr>
    <w:rPr>
      <w:rFonts w:ascii="Arial" w:hAnsi="Arial" w:cs="Arial"/>
      <w:sz w:val="22"/>
      <w:szCs w:val="22"/>
      <w:lang w:eastAsia="en-US"/>
    </w:rPr>
  </w:style>
  <w:style w:type="paragraph" w:styleId="Heading1">
    <w:name w:val="heading 1"/>
    <w:basedOn w:val="Normal"/>
    <w:next w:val="Normal"/>
    <w:qFormat/>
    <w:rsid w:val="008D05E3"/>
    <w:pPr>
      <w:pBdr>
        <w:top w:val="single" w:sz="4" w:space="1" w:color="auto"/>
        <w:bottom w:val="single" w:sz="8" w:space="1" w:color="auto"/>
      </w:pBdr>
      <w:outlineLvl w:val="0"/>
    </w:pPr>
    <w:rPr>
      <w:b/>
      <w:sz w:val="36"/>
      <w:szCs w:val="36"/>
      <w:lang w:eastAsia="en-AU"/>
    </w:rPr>
  </w:style>
  <w:style w:type="paragraph" w:styleId="Heading2">
    <w:name w:val="heading 2"/>
    <w:basedOn w:val="Normal"/>
    <w:next w:val="Normal"/>
    <w:qFormat/>
    <w:rsid w:val="00F32E8C"/>
    <w:pPr>
      <w:keepNext/>
      <w:spacing w:before="240"/>
      <w:jc w:val="left"/>
      <w:outlineLvl w:val="1"/>
    </w:pPr>
    <w:rPr>
      <w:b/>
      <w:bCs/>
      <w:iCs/>
      <w:sz w:val="32"/>
      <w:szCs w:val="28"/>
    </w:rPr>
  </w:style>
  <w:style w:type="paragraph" w:styleId="Heading3">
    <w:name w:val="heading 3"/>
    <w:basedOn w:val="Normal"/>
    <w:next w:val="Normal"/>
    <w:qFormat/>
    <w:rsid w:val="006008AA"/>
    <w:pPr>
      <w:keepNext/>
      <w:numPr>
        <w:numId w:val="4"/>
      </w:numPr>
      <w:tabs>
        <w:tab w:val="clear" w:pos="360"/>
      </w:tabs>
      <w:spacing w:before="240"/>
      <w:ind w:left="567" w:hanging="567"/>
      <w:outlineLvl w:val="2"/>
    </w:pPr>
    <w:rPr>
      <w:b/>
      <w:bCs/>
      <w:i/>
      <w:sz w:val="28"/>
      <w:szCs w:val="26"/>
      <w:lang w:eastAsia="en-AU"/>
    </w:rPr>
  </w:style>
  <w:style w:type="paragraph" w:styleId="Heading4">
    <w:name w:val="heading 4"/>
    <w:basedOn w:val="Normal"/>
    <w:next w:val="Normal"/>
    <w:qFormat/>
    <w:rsid w:val="00F32E8C"/>
    <w:pPr>
      <w:keepNext/>
      <w:spacing w:before="240"/>
      <w:ind w:left="1134" w:hanging="567"/>
      <w:outlineLvl w:val="3"/>
    </w:pPr>
    <w:rPr>
      <w:b/>
      <w:bCs/>
      <w:sz w:val="24"/>
      <w:szCs w:val="28"/>
      <w:lang w:eastAsia="en-AU"/>
    </w:rPr>
  </w:style>
  <w:style w:type="paragraph" w:styleId="Heading5">
    <w:name w:val="heading 5"/>
    <w:basedOn w:val="Normal"/>
    <w:next w:val="Normal"/>
    <w:qFormat/>
    <w:rsid w:val="008811BE"/>
    <w:pPr>
      <w:spacing w:before="240" w:after="60"/>
      <w:ind w:left="1008" w:hanging="1008"/>
      <w:outlineLvl w:val="4"/>
    </w:pPr>
    <w:rPr>
      <w:rFonts w:ascii="Calibri" w:hAnsi="Calibri"/>
      <w:b/>
      <w:bCs/>
      <w:i/>
      <w:iCs/>
      <w:sz w:val="26"/>
      <w:szCs w:val="26"/>
    </w:rPr>
  </w:style>
  <w:style w:type="paragraph" w:styleId="Heading6">
    <w:name w:val="heading 6"/>
    <w:basedOn w:val="Normal"/>
    <w:next w:val="Normal"/>
    <w:qFormat/>
    <w:rsid w:val="008811BE"/>
    <w:pPr>
      <w:spacing w:before="240" w:after="60"/>
      <w:ind w:left="1152" w:hanging="1152"/>
      <w:outlineLvl w:val="5"/>
    </w:pPr>
    <w:rPr>
      <w:rFonts w:ascii="Calibri" w:hAnsi="Calibri"/>
      <w:b/>
      <w:bCs/>
    </w:rPr>
  </w:style>
  <w:style w:type="paragraph" w:styleId="Heading7">
    <w:name w:val="heading 7"/>
    <w:basedOn w:val="Normal"/>
    <w:next w:val="Normal"/>
    <w:qFormat/>
    <w:rsid w:val="003B62B8"/>
    <w:pPr>
      <w:pBdr>
        <w:top w:val="single" w:sz="4" w:space="1" w:color="auto"/>
        <w:bottom w:val="single" w:sz="4" w:space="0" w:color="auto"/>
      </w:pBdr>
      <w:outlineLvl w:val="6"/>
    </w:pPr>
    <w:rPr>
      <w:b/>
      <w:sz w:val="36"/>
    </w:rPr>
  </w:style>
  <w:style w:type="paragraph" w:styleId="Heading8">
    <w:name w:val="heading 8"/>
    <w:aliases w:val="Appendices"/>
    <w:basedOn w:val="Caption"/>
    <w:next w:val="Normal"/>
    <w:qFormat/>
    <w:rsid w:val="009E13F5"/>
    <w:pPr>
      <w:pBdr>
        <w:top w:val="single" w:sz="4" w:space="1" w:color="auto"/>
        <w:bottom w:val="single" w:sz="4" w:space="1" w:color="auto"/>
      </w:pBdr>
      <w:outlineLvl w:val="7"/>
    </w:pPr>
    <w:rPr>
      <w:sz w:val="36"/>
    </w:rPr>
  </w:style>
  <w:style w:type="paragraph" w:styleId="Heading9">
    <w:name w:val="heading 9"/>
    <w:basedOn w:val="Normal"/>
    <w:next w:val="Normal"/>
    <w:qFormat/>
    <w:rsid w:val="008811BE"/>
    <w:pPr>
      <w:spacing w:before="240" w:after="60"/>
      <w:ind w:left="1584" w:hanging="1584"/>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BoldBefore12ptAfter6pt">
    <w:name w:val="Style Bold Before:  12 pt After:  6 pt"/>
    <w:basedOn w:val="Normal"/>
    <w:rsid w:val="00FB523A"/>
    <w:pPr>
      <w:numPr>
        <w:numId w:val="1"/>
      </w:numPr>
      <w:spacing w:before="240" w:after="120"/>
    </w:pPr>
    <w:rPr>
      <w:b/>
      <w:bCs/>
      <w:szCs w:val="20"/>
    </w:rPr>
  </w:style>
  <w:style w:type="paragraph" w:styleId="Header">
    <w:name w:val="header"/>
    <w:basedOn w:val="Normal"/>
    <w:rsid w:val="00FB523A"/>
    <w:pPr>
      <w:tabs>
        <w:tab w:val="center" w:pos="4153"/>
        <w:tab w:val="right" w:pos="8306"/>
      </w:tabs>
    </w:pPr>
  </w:style>
  <w:style w:type="paragraph" w:styleId="Footer">
    <w:name w:val="footer"/>
    <w:basedOn w:val="Normal"/>
    <w:rsid w:val="00FB523A"/>
    <w:pPr>
      <w:tabs>
        <w:tab w:val="center" w:pos="4153"/>
        <w:tab w:val="right" w:pos="8306"/>
      </w:tabs>
    </w:pPr>
  </w:style>
  <w:style w:type="character" w:styleId="PageNumber">
    <w:name w:val="page number"/>
    <w:basedOn w:val="DefaultParagraphFont"/>
    <w:rsid w:val="00FB523A"/>
  </w:style>
  <w:style w:type="character" w:styleId="Hyperlink">
    <w:name w:val="Hyperlink"/>
    <w:uiPriority w:val="99"/>
    <w:rsid w:val="00FB523A"/>
    <w:rPr>
      <w:color w:val="0000FF"/>
      <w:u w:val="single"/>
    </w:rPr>
  </w:style>
  <w:style w:type="paragraph" w:customStyle="1" w:styleId="StyleHeading111ptBefore6pt">
    <w:name w:val="Style Heading 1 + 11 pt Before:  6 pt"/>
    <w:basedOn w:val="Heading1"/>
    <w:link w:val="StyleHeading111ptBefore6ptChar"/>
    <w:autoRedefine/>
    <w:rsid w:val="008F4025"/>
    <w:pPr>
      <w:pBdr>
        <w:bottom w:val="single" w:sz="12" w:space="1" w:color="auto"/>
      </w:pBdr>
      <w:tabs>
        <w:tab w:val="left" w:pos="1440"/>
      </w:tabs>
      <w:spacing w:after="0"/>
    </w:pPr>
    <w:rPr>
      <w:rFonts w:cs="Times New Roman"/>
    </w:rPr>
  </w:style>
  <w:style w:type="character" w:customStyle="1" w:styleId="StyleHeading111ptBefore6ptChar">
    <w:name w:val="Style Heading 1 + 11 pt Before:  6 pt Char"/>
    <w:link w:val="StyleHeading111ptBefore6pt"/>
    <w:rsid w:val="008F4025"/>
    <w:rPr>
      <w:rFonts w:ascii="Arial" w:hAnsi="Arial"/>
      <w:b/>
      <w:bCs/>
      <w:sz w:val="36"/>
      <w:szCs w:val="36"/>
      <w:lang w:val="en-AU" w:eastAsia="en-AU" w:bidi="ar-SA"/>
    </w:rPr>
  </w:style>
  <w:style w:type="paragraph" w:styleId="TOC1">
    <w:name w:val="toc 1"/>
    <w:basedOn w:val="Normal"/>
    <w:next w:val="Normal"/>
    <w:autoRedefine/>
    <w:uiPriority w:val="39"/>
    <w:rsid w:val="0010239C"/>
    <w:pPr>
      <w:tabs>
        <w:tab w:val="left" w:pos="1200"/>
        <w:tab w:val="right" w:leader="dot" w:pos="9072"/>
      </w:tabs>
      <w:spacing w:after="120"/>
    </w:pPr>
    <w:rPr>
      <w:szCs w:val="20"/>
      <w:lang w:eastAsia="en-AU"/>
    </w:rPr>
  </w:style>
  <w:style w:type="paragraph" w:styleId="TOC2">
    <w:name w:val="toc 2"/>
    <w:basedOn w:val="Normal"/>
    <w:next w:val="Normal"/>
    <w:autoRedefine/>
    <w:uiPriority w:val="39"/>
    <w:rsid w:val="0010239C"/>
    <w:pPr>
      <w:tabs>
        <w:tab w:val="left" w:pos="567"/>
        <w:tab w:val="right" w:leader="dot" w:pos="9072"/>
      </w:tabs>
      <w:spacing w:after="120"/>
      <w:ind w:left="142"/>
    </w:pPr>
    <w:rPr>
      <w:noProof/>
    </w:rPr>
  </w:style>
  <w:style w:type="table" w:styleId="TableGrid">
    <w:name w:val="Table Grid"/>
    <w:basedOn w:val="TableNormal"/>
    <w:rsid w:val="0088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26pt">
    <w:name w:val="Style Heading 1 + 26 pt"/>
    <w:basedOn w:val="Heading1"/>
    <w:link w:val="StyleHeading126ptChar"/>
    <w:rsid w:val="008811BE"/>
    <w:pPr>
      <w:ind w:left="567" w:right="838" w:hanging="567"/>
    </w:pPr>
    <w:rPr>
      <w:rFonts w:cs="Times New Roman"/>
      <w:caps/>
      <w:szCs w:val="20"/>
    </w:rPr>
  </w:style>
  <w:style w:type="character" w:customStyle="1" w:styleId="StyleHeading126ptChar">
    <w:name w:val="Style Heading 1 + 26 pt Char"/>
    <w:link w:val="StyleHeading126pt"/>
    <w:rsid w:val="008811BE"/>
    <w:rPr>
      <w:rFonts w:ascii="Arial" w:hAnsi="Arial"/>
      <w:b/>
      <w:bCs/>
      <w:caps/>
      <w:sz w:val="36"/>
      <w:lang w:val="en-AU" w:eastAsia="en-US" w:bidi="ar-SA"/>
    </w:rPr>
  </w:style>
  <w:style w:type="paragraph" w:styleId="List2">
    <w:name w:val="List 2"/>
    <w:basedOn w:val="Normal"/>
    <w:rsid w:val="003D59C4"/>
    <w:pPr>
      <w:numPr>
        <w:numId w:val="2"/>
      </w:numPr>
      <w:tabs>
        <w:tab w:val="left" w:pos="8289"/>
      </w:tabs>
    </w:pPr>
    <w:rPr>
      <w:rFonts w:ascii="Tahoma" w:hAnsi="Tahoma"/>
      <w:bCs/>
      <w:sz w:val="20"/>
      <w:szCs w:val="20"/>
      <w:lang w:val="en-US"/>
    </w:rPr>
  </w:style>
  <w:style w:type="paragraph" w:customStyle="1" w:styleId="Default">
    <w:name w:val="Default"/>
    <w:rsid w:val="003D59C4"/>
    <w:pPr>
      <w:autoSpaceDE w:val="0"/>
      <w:autoSpaceDN w:val="0"/>
      <w:adjustRightInd w:val="0"/>
    </w:pPr>
    <w:rPr>
      <w:rFonts w:ascii="Arial" w:hAnsi="Arial" w:cs="Arial"/>
      <w:color w:val="000000"/>
      <w:sz w:val="24"/>
      <w:szCs w:val="24"/>
    </w:rPr>
  </w:style>
  <w:style w:type="paragraph" w:styleId="TOC3">
    <w:name w:val="toc 3"/>
    <w:basedOn w:val="Normal"/>
    <w:next w:val="Normal"/>
    <w:autoRedefine/>
    <w:uiPriority w:val="39"/>
    <w:rsid w:val="0010239C"/>
    <w:pPr>
      <w:tabs>
        <w:tab w:val="left" w:pos="709"/>
        <w:tab w:val="right" w:leader="dot" w:pos="9062"/>
      </w:tabs>
      <w:spacing w:after="120"/>
      <w:ind w:left="284"/>
    </w:pPr>
  </w:style>
  <w:style w:type="paragraph" w:styleId="BalloonText">
    <w:name w:val="Balloon Text"/>
    <w:basedOn w:val="Normal"/>
    <w:link w:val="BalloonTextChar"/>
    <w:rsid w:val="00875F07"/>
    <w:rPr>
      <w:rFonts w:ascii="Tahoma" w:hAnsi="Tahoma" w:cs="Tahoma"/>
      <w:sz w:val="16"/>
      <w:szCs w:val="16"/>
    </w:rPr>
  </w:style>
  <w:style w:type="character" w:customStyle="1" w:styleId="BalloonTextChar">
    <w:name w:val="Balloon Text Char"/>
    <w:link w:val="BalloonText"/>
    <w:rsid w:val="00875F07"/>
    <w:rPr>
      <w:rFonts w:ascii="Tahoma" w:hAnsi="Tahoma" w:cs="Tahoma"/>
      <w:sz w:val="16"/>
      <w:szCs w:val="16"/>
      <w:lang w:eastAsia="en-US"/>
    </w:rPr>
  </w:style>
  <w:style w:type="paragraph" w:styleId="TOCHeading">
    <w:name w:val="TOC Heading"/>
    <w:basedOn w:val="Heading1"/>
    <w:next w:val="Normal"/>
    <w:uiPriority w:val="39"/>
    <w:semiHidden/>
    <w:unhideWhenUsed/>
    <w:qFormat/>
    <w:rsid w:val="008A745E"/>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ListParagraph">
    <w:name w:val="List Paragraph"/>
    <w:basedOn w:val="Normal"/>
    <w:link w:val="ListParagraphChar"/>
    <w:uiPriority w:val="34"/>
    <w:qFormat/>
    <w:rsid w:val="002D59F9"/>
    <w:pPr>
      <w:ind w:left="720"/>
      <w:contextualSpacing/>
    </w:pPr>
  </w:style>
  <w:style w:type="paragraph" w:styleId="TOC4">
    <w:name w:val="toc 4"/>
    <w:basedOn w:val="Normal"/>
    <w:next w:val="Normal"/>
    <w:autoRedefine/>
    <w:rsid w:val="0010239C"/>
    <w:pPr>
      <w:spacing w:after="120"/>
      <w:ind w:left="720"/>
    </w:pPr>
  </w:style>
  <w:style w:type="paragraph" w:styleId="TOC5">
    <w:name w:val="toc 5"/>
    <w:basedOn w:val="Normal"/>
    <w:next w:val="Normal"/>
    <w:autoRedefine/>
    <w:rsid w:val="0010239C"/>
    <w:pPr>
      <w:spacing w:after="120"/>
      <w:ind w:left="958"/>
    </w:pPr>
  </w:style>
  <w:style w:type="paragraph" w:styleId="TOC6">
    <w:name w:val="toc 6"/>
    <w:basedOn w:val="Normal"/>
    <w:next w:val="Normal"/>
    <w:autoRedefine/>
    <w:rsid w:val="0010239C"/>
    <w:pPr>
      <w:spacing w:after="120"/>
      <w:ind w:left="1202"/>
    </w:pPr>
  </w:style>
  <w:style w:type="paragraph" w:styleId="TOC7">
    <w:name w:val="toc 7"/>
    <w:basedOn w:val="Normal"/>
    <w:next w:val="Normal"/>
    <w:autoRedefine/>
    <w:rsid w:val="0010239C"/>
    <w:pPr>
      <w:spacing w:after="120"/>
      <w:ind w:left="1440"/>
    </w:pPr>
  </w:style>
  <w:style w:type="paragraph" w:styleId="TOC8">
    <w:name w:val="toc 8"/>
    <w:basedOn w:val="Normal"/>
    <w:next w:val="Normal"/>
    <w:autoRedefine/>
    <w:rsid w:val="0010239C"/>
    <w:pPr>
      <w:spacing w:after="120"/>
      <w:ind w:left="1678"/>
    </w:pPr>
  </w:style>
  <w:style w:type="paragraph" w:styleId="TOC9">
    <w:name w:val="toc 9"/>
    <w:basedOn w:val="Normal"/>
    <w:next w:val="Normal"/>
    <w:autoRedefine/>
    <w:rsid w:val="0010239C"/>
    <w:pPr>
      <w:spacing w:after="120"/>
      <w:ind w:left="1922"/>
    </w:pPr>
  </w:style>
  <w:style w:type="paragraph" w:styleId="Caption">
    <w:name w:val="caption"/>
    <w:basedOn w:val="Normal"/>
    <w:next w:val="Normal"/>
    <w:unhideWhenUsed/>
    <w:qFormat/>
    <w:rsid w:val="00A056D1"/>
    <w:pPr>
      <w:keepNext/>
      <w:spacing w:after="200"/>
    </w:pPr>
    <w:rPr>
      <w:b/>
      <w:bCs/>
      <w:sz w:val="20"/>
      <w:szCs w:val="18"/>
    </w:rPr>
  </w:style>
  <w:style w:type="character" w:styleId="Strong">
    <w:name w:val="Strong"/>
    <w:qFormat/>
    <w:rsid w:val="00F32E8C"/>
    <w:rPr>
      <w:b/>
    </w:rPr>
  </w:style>
  <w:style w:type="paragraph" w:styleId="TableofFigures">
    <w:name w:val="table of figures"/>
    <w:basedOn w:val="Normal"/>
    <w:next w:val="Normal"/>
    <w:uiPriority w:val="99"/>
    <w:rsid w:val="0010239C"/>
    <w:pPr>
      <w:spacing w:after="120"/>
    </w:pPr>
  </w:style>
  <w:style w:type="character" w:styleId="PlaceholderText">
    <w:name w:val="Placeholder Text"/>
    <w:basedOn w:val="DefaultParagraphFont"/>
    <w:uiPriority w:val="99"/>
    <w:semiHidden/>
    <w:rsid w:val="005938AE"/>
    <w:rPr>
      <w:color w:val="808080"/>
    </w:rPr>
  </w:style>
  <w:style w:type="character" w:styleId="CommentReference">
    <w:name w:val="annotation reference"/>
    <w:basedOn w:val="DefaultParagraphFont"/>
    <w:semiHidden/>
    <w:unhideWhenUsed/>
    <w:rsid w:val="00A85D7C"/>
    <w:rPr>
      <w:sz w:val="16"/>
      <w:szCs w:val="16"/>
    </w:rPr>
  </w:style>
  <w:style w:type="paragraph" w:styleId="CommentText">
    <w:name w:val="annotation text"/>
    <w:basedOn w:val="Normal"/>
    <w:link w:val="CommentTextChar"/>
    <w:semiHidden/>
    <w:unhideWhenUsed/>
    <w:rsid w:val="00A85D7C"/>
    <w:rPr>
      <w:sz w:val="20"/>
      <w:szCs w:val="20"/>
    </w:rPr>
  </w:style>
  <w:style w:type="character" w:customStyle="1" w:styleId="CommentTextChar">
    <w:name w:val="Comment Text Char"/>
    <w:basedOn w:val="DefaultParagraphFont"/>
    <w:link w:val="CommentText"/>
    <w:semiHidden/>
    <w:rsid w:val="00A85D7C"/>
    <w:rPr>
      <w:rFonts w:ascii="Arial" w:hAnsi="Arial" w:cs="Arial"/>
      <w:lang w:eastAsia="en-US"/>
    </w:rPr>
  </w:style>
  <w:style w:type="paragraph" w:styleId="CommentSubject">
    <w:name w:val="annotation subject"/>
    <w:basedOn w:val="CommentText"/>
    <w:next w:val="CommentText"/>
    <w:link w:val="CommentSubjectChar"/>
    <w:semiHidden/>
    <w:unhideWhenUsed/>
    <w:rsid w:val="00A85D7C"/>
    <w:rPr>
      <w:b/>
      <w:bCs/>
    </w:rPr>
  </w:style>
  <w:style w:type="character" w:customStyle="1" w:styleId="CommentSubjectChar">
    <w:name w:val="Comment Subject Char"/>
    <w:basedOn w:val="CommentTextChar"/>
    <w:link w:val="CommentSubject"/>
    <w:semiHidden/>
    <w:rsid w:val="00A85D7C"/>
    <w:rPr>
      <w:rFonts w:ascii="Arial" w:hAnsi="Arial" w:cs="Arial"/>
      <w:b/>
      <w:bCs/>
      <w:lang w:eastAsia="en-US"/>
    </w:rPr>
  </w:style>
  <w:style w:type="character" w:styleId="FollowedHyperlink">
    <w:name w:val="FollowedHyperlink"/>
    <w:basedOn w:val="DefaultParagraphFont"/>
    <w:semiHidden/>
    <w:unhideWhenUsed/>
    <w:rsid w:val="009206F2"/>
    <w:rPr>
      <w:color w:val="800080" w:themeColor="followedHyperlink"/>
      <w:u w:val="single"/>
    </w:rPr>
  </w:style>
  <w:style w:type="character" w:customStyle="1" w:styleId="ListParagraphChar">
    <w:name w:val="List Paragraph Char"/>
    <w:link w:val="ListParagraph"/>
    <w:uiPriority w:val="34"/>
    <w:rsid w:val="00CF240E"/>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4091">
      <w:bodyDiv w:val="1"/>
      <w:marLeft w:val="0"/>
      <w:marRight w:val="0"/>
      <w:marTop w:val="0"/>
      <w:marBottom w:val="0"/>
      <w:divBdr>
        <w:top w:val="none" w:sz="0" w:space="0" w:color="auto"/>
        <w:left w:val="none" w:sz="0" w:space="0" w:color="auto"/>
        <w:bottom w:val="none" w:sz="0" w:space="0" w:color="auto"/>
        <w:right w:val="none" w:sz="0" w:space="0" w:color="auto"/>
      </w:divBdr>
    </w:div>
    <w:div w:id="113864970">
      <w:bodyDiv w:val="1"/>
      <w:marLeft w:val="0"/>
      <w:marRight w:val="0"/>
      <w:marTop w:val="0"/>
      <w:marBottom w:val="0"/>
      <w:divBdr>
        <w:top w:val="none" w:sz="0" w:space="0" w:color="auto"/>
        <w:left w:val="none" w:sz="0" w:space="0" w:color="auto"/>
        <w:bottom w:val="none" w:sz="0" w:space="0" w:color="auto"/>
        <w:right w:val="none" w:sz="0" w:space="0" w:color="auto"/>
      </w:divBdr>
    </w:div>
    <w:div w:id="158471904">
      <w:bodyDiv w:val="1"/>
      <w:marLeft w:val="0"/>
      <w:marRight w:val="750"/>
      <w:marTop w:val="0"/>
      <w:marBottom w:val="0"/>
      <w:divBdr>
        <w:top w:val="none" w:sz="0" w:space="0" w:color="auto"/>
        <w:left w:val="none" w:sz="0" w:space="0" w:color="auto"/>
        <w:bottom w:val="none" w:sz="0" w:space="0" w:color="auto"/>
        <w:right w:val="none" w:sz="0" w:space="0" w:color="auto"/>
      </w:divBdr>
      <w:divsChild>
        <w:div w:id="1219052425">
          <w:marLeft w:val="0"/>
          <w:marRight w:val="0"/>
          <w:marTop w:val="0"/>
          <w:marBottom w:val="0"/>
          <w:divBdr>
            <w:top w:val="none" w:sz="0" w:space="0" w:color="auto"/>
            <w:left w:val="none" w:sz="0" w:space="0" w:color="auto"/>
            <w:bottom w:val="none" w:sz="0" w:space="0" w:color="auto"/>
            <w:right w:val="none" w:sz="0" w:space="0" w:color="auto"/>
          </w:divBdr>
          <w:divsChild>
            <w:div w:id="1976639008">
              <w:marLeft w:val="0"/>
              <w:marRight w:val="0"/>
              <w:marTop w:val="0"/>
              <w:marBottom w:val="0"/>
              <w:divBdr>
                <w:top w:val="none" w:sz="0" w:space="0" w:color="auto"/>
                <w:left w:val="none" w:sz="0" w:space="0" w:color="auto"/>
                <w:bottom w:val="none" w:sz="0" w:space="0" w:color="auto"/>
                <w:right w:val="none" w:sz="0" w:space="0" w:color="auto"/>
              </w:divBdr>
              <w:divsChild>
                <w:div w:id="1148937860">
                  <w:marLeft w:val="0"/>
                  <w:marRight w:val="0"/>
                  <w:marTop w:val="0"/>
                  <w:marBottom w:val="0"/>
                  <w:divBdr>
                    <w:top w:val="none" w:sz="0" w:space="0" w:color="auto"/>
                    <w:left w:val="none" w:sz="0" w:space="0" w:color="auto"/>
                    <w:bottom w:val="none" w:sz="0" w:space="0" w:color="auto"/>
                    <w:right w:val="none" w:sz="0" w:space="0" w:color="auto"/>
                  </w:divBdr>
                  <w:divsChild>
                    <w:div w:id="416246406">
                      <w:marLeft w:val="-225"/>
                      <w:marRight w:val="-225"/>
                      <w:marTop w:val="0"/>
                      <w:marBottom w:val="0"/>
                      <w:divBdr>
                        <w:top w:val="none" w:sz="0" w:space="0" w:color="auto"/>
                        <w:left w:val="none" w:sz="0" w:space="0" w:color="auto"/>
                        <w:bottom w:val="none" w:sz="0" w:space="0" w:color="auto"/>
                        <w:right w:val="none" w:sz="0" w:space="0" w:color="auto"/>
                      </w:divBdr>
                      <w:divsChild>
                        <w:div w:id="427122101">
                          <w:marLeft w:val="0"/>
                          <w:marRight w:val="0"/>
                          <w:marTop w:val="0"/>
                          <w:marBottom w:val="0"/>
                          <w:divBdr>
                            <w:top w:val="none" w:sz="0" w:space="0" w:color="auto"/>
                            <w:left w:val="none" w:sz="0" w:space="0" w:color="auto"/>
                            <w:bottom w:val="none" w:sz="0" w:space="0" w:color="auto"/>
                            <w:right w:val="none" w:sz="0" w:space="0" w:color="auto"/>
                          </w:divBdr>
                          <w:divsChild>
                            <w:div w:id="179046334">
                              <w:marLeft w:val="0"/>
                              <w:marRight w:val="0"/>
                              <w:marTop w:val="0"/>
                              <w:marBottom w:val="0"/>
                              <w:divBdr>
                                <w:top w:val="none" w:sz="0" w:space="0" w:color="auto"/>
                                <w:left w:val="none" w:sz="0" w:space="0" w:color="auto"/>
                                <w:bottom w:val="none" w:sz="0" w:space="0" w:color="auto"/>
                                <w:right w:val="none" w:sz="0" w:space="0" w:color="auto"/>
                              </w:divBdr>
                              <w:divsChild>
                                <w:div w:id="533494703">
                                  <w:marLeft w:val="0"/>
                                  <w:marRight w:val="0"/>
                                  <w:marTop w:val="0"/>
                                  <w:marBottom w:val="0"/>
                                  <w:divBdr>
                                    <w:top w:val="none" w:sz="0" w:space="0" w:color="auto"/>
                                    <w:left w:val="none" w:sz="0" w:space="0" w:color="auto"/>
                                    <w:bottom w:val="none" w:sz="0" w:space="0" w:color="auto"/>
                                    <w:right w:val="none" w:sz="0" w:space="0" w:color="auto"/>
                                  </w:divBdr>
                                  <w:divsChild>
                                    <w:div w:id="642152434">
                                      <w:marLeft w:val="0"/>
                                      <w:marRight w:val="0"/>
                                      <w:marTop w:val="0"/>
                                      <w:marBottom w:val="0"/>
                                      <w:divBdr>
                                        <w:top w:val="none" w:sz="0" w:space="0" w:color="auto"/>
                                        <w:left w:val="none" w:sz="0" w:space="0" w:color="auto"/>
                                        <w:bottom w:val="none" w:sz="0" w:space="0" w:color="auto"/>
                                        <w:right w:val="none" w:sz="0" w:space="0" w:color="auto"/>
                                      </w:divBdr>
                                      <w:divsChild>
                                        <w:div w:id="132693035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75338844">
                                              <w:marLeft w:val="0"/>
                                              <w:marRight w:val="0"/>
                                              <w:marTop w:val="0"/>
                                              <w:marBottom w:val="0"/>
                                              <w:divBdr>
                                                <w:top w:val="none" w:sz="0" w:space="0" w:color="auto"/>
                                                <w:left w:val="none" w:sz="0" w:space="0" w:color="auto"/>
                                                <w:bottom w:val="none" w:sz="0" w:space="0" w:color="auto"/>
                                                <w:right w:val="none" w:sz="0" w:space="0" w:color="auto"/>
                                              </w:divBdr>
                                              <w:divsChild>
                                                <w:div w:id="60234900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21780814">
                                              <w:marLeft w:val="0"/>
                                              <w:marRight w:val="0"/>
                                              <w:marTop w:val="0"/>
                                              <w:marBottom w:val="0"/>
                                              <w:divBdr>
                                                <w:top w:val="none" w:sz="0" w:space="0" w:color="auto"/>
                                                <w:left w:val="none" w:sz="0" w:space="0" w:color="auto"/>
                                                <w:bottom w:val="none" w:sz="0" w:space="0" w:color="auto"/>
                                                <w:right w:val="none" w:sz="0" w:space="0" w:color="auto"/>
                                              </w:divBdr>
                                              <w:divsChild>
                                                <w:div w:id="147811120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42402216">
                                              <w:marLeft w:val="0"/>
                                              <w:marRight w:val="0"/>
                                              <w:marTop w:val="0"/>
                                              <w:marBottom w:val="0"/>
                                              <w:divBdr>
                                                <w:top w:val="none" w:sz="0" w:space="0" w:color="auto"/>
                                                <w:left w:val="none" w:sz="0" w:space="0" w:color="auto"/>
                                                <w:bottom w:val="none" w:sz="0" w:space="0" w:color="auto"/>
                                                <w:right w:val="none" w:sz="0" w:space="0" w:color="auto"/>
                                              </w:divBdr>
                                              <w:divsChild>
                                                <w:div w:id="177951817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6263447">
                                              <w:marLeft w:val="0"/>
                                              <w:marRight w:val="0"/>
                                              <w:marTop w:val="0"/>
                                              <w:marBottom w:val="0"/>
                                              <w:divBdr>
                                                <w:top w:val="none" w:sz="0" w:space="0" w:color="auto"/>
                                                <w:left w:val="none" w:sz="0" w:space="0" w:color="auto"/>
                                                <w:bottom w:val="none" w:sz="0" w:space="0" w:color="auto"/>
                                                <w:right w:val="none" w:sz="0" w:space="0" w:color="auto"/>
                                              </w:divBdr>
                                              <w:divsChild>
                                                <w:div w:id="69580949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64115835">
                                              <w:marLeft w:val="0"/>
                                              <w:marRight w:val="0"/>
                                              <w:marTop w:val="0"/>
                                              <w:marBottom w:val="0"/>
                                              <w:divBdr>
                                                <w:top w:val="none" w:sz="0" w:space="0" w:color="auto"/>
                                                <w:left w:val="none" w:sz="0" w:space="0" w:color="auto"/>
                                                <w:bottom w:val="none" w:sz="0" w:space="0" w:color="auto"/>
                                                <w:right w:val="none" w:sz="0" w:space="0" w:color="auto"/>
                                              </w:divBdr>
                                              <w:divsChild>
                                                <w:div w:id="38136898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68327450">
                                              <w:marLeft w:val="0"/>
                                              <w:marRight w:val="0"/>
                                              <w:marTop w:val="0"/>
                                              <w:marBottom w:val="0"/>
                                              <w:divBdr>
                                                <w:top w:val="none" w:sz="0" w:space="0" w:color="auto"/>
                                                <w:left w:val="none" w:sz="0" w:space="0" w:color="auto"/>
                                                <w:bottom w:val="none" w:sz="0" w:space="0" w:color="auto"/>
                                                <w:right w:val="none" w:sz="0" w:space="0" w:color="auto"/>
                                              </w:divBdr>
                                              <w:divsChild>
                                                <w:div w:id="213151460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28948851">
                                              <w:marLeft w:val="0"/>
                                              <w:marRight w:val="0"/>
                                              <w:marTop w:val="0"/>
                                              <w:marBottom w:val="0"/>
                                              <w:divBdr>
                                                <w:top w:val="none" w:sz="0" w:space="0" w:color="auto"/>
                                                <w:left w:val="none" w:sz="0" w:space="0" w:color="auto"/>
                                                <w:bottom w:val="none" w:sz="0" w:space="0" w:color="auto"/>
                                                <w:right w:val="none" w:sz="0" w:space="0" w:color="auto"/>
                                              </w:divBdr>
                                              <w:divsChild>
                                                <w:div w:id="179189367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87272459">
                                              <w:marLeft w:val="0"/>
                                              <w:marRight w:val="0"/>
                                              <w:marTop w:val="0"/>
                                              <w:marBottom w:val="0"/>
                                              <w:divBdr>
                                                <w:top w:val="none" w:sz="0" w:space="0" w:color="auto"/>
                                                <w:left w:val="none" w:sz="0" w:space="0" w:color="auto"/>
                                                <w:bottom w:val="none" w:sz="0" w:space="0" w:color="auto"/>
                                                <w:right w:val="none" w:sz="0" w:space="0" w:color="auto"/>
                                              </w:divBdr>
                                              <w:divsChild>
                                                <w:div w:id="135843460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859038">
      <w:bodyDiv w:val="1"/>
      <w:marLeft w:val="0"/>
      <w:marRight w:val="0"/>
      <w:marTop w:val="0"/>
      <w:marBottom w:val="0"/>
      <w:divBdr>
        <w:top w:val="none" w:sz="0" w:space="0" w:color="auto"/>
        <w:left w:val="none" w:sz="0" w:space="0" w:color="auto"/>
        <w:bottom w:val="none" w:sz="0" w:space="0" w:color="auto"/>
        <w:right w:val="none" w:sz="0" w:space="0" w:color="auto"/>
      </w:divBdr>
    </w:div>
    <w:div w:id="515655736">
      <w:bodyDiv w:val="1"/>
      <w:marLeft w:val="0"/>
      <w:marRight w:val="750"/>
      <w:marTop w:val="0"/>
      <w:marBottom w:val="0"/>
      <w:divBdr>
        <w:top w:val="none" w:sz="0" w:space="0" w:color="auto"/>
        <w:left w:val="none" w:sz="0" w:space="0" w:color="auto"/>
        <w:bottom w:val="none" w:sz="0" w:space="0" w:color="auto"/>
        <w:right w:val="none" w:sz="0" w:space="0" w:color="auto"/>
      </w:divBdr>
      <w:divsChild>
        <w:div w:id="1832866772">
          <w:marLeft w:val="0"/>
          <w:marRight w:val="0"/>
          <w:marTop w:val="0"/>
          <w:marBottom w:val="0"/>
          <w:divBdr>
            <w:top w:val="none" w:sz="0" w:space="0" w:color="auto"/>
            <w:left w:val="none" w:sz="0" w:space="0" w:color="auto"/>
            <w:bottom w:val="none" w:sz="0" w:space="0" w:color="auto"/>
            <w:right w:val="none" w:sz="0" w:space="0" w:color="auto"/>
          </w:divBdr>
          <w:divsChild>
            <w:div w:id="816266500">
              <w:marLeft w:val="0"/>
              <w:marRight w:val="0"/>
              <w:marTop w:val="0"/>
              <w:marBottom w:val="0"/>
              <w:divBdr>
                <w:top w:val="none" w:sz="0" w:space="0" w:color="auto"/>
                <w:left w:val="none" w:sz="0" w:space="0" w:color="auto"/>
                <w:bottom w:val="none" w:sz="0" w:space="0" w:color="auto"/>
                <w:right w:val="none" w:sz="0" w:space="0" w:color="auto"/>
              </w:divBdr>
              <w:divsChild>
                <w:div w:id="523058034">
                  <w:marLeft w:val="0"/>
                  <w:marRight w:val="0"/>
                  <w:marTop w:val="0"/>
                  <w:marBottom w:val="0"/>
                  <w:divBdr>
                    <w:top w:val="none" w:sz="0" w:space="0" w:color="auto"/>
                    <w:left w:val="none" w:sz="0" w:space="0" w:color="auto"/>
                    <w:bottom w:val="none" w:sz="0" w:space="0" w:color="auto"/>
                    <w:right w:val="none" w:sz="0" w:space="0" w:color="auto"/>
                  </w:divBdr>
                  <w:divsChild>
                    <w:div w:id="1424885020">
                      <w:marLeft w:val="-225"/>
                      <w:marRight w:val="-225"/>
                      <w:marTop w:val="0"/>
                      <w:marBottom w:val="0"/>
                      <w:divBdr>
                        <w:top w:val="none" w:sz="0" w:space="0" w:color="auto"/>
                        <w:left w:val="none" w:sz="0" w:space="0" w:color="auto"/>
                        <w:bottom w:val="none" w:sz="0" w:space="0" w:color="auto"/>
                        <w:right w:val="none" w:sz="0" w:space="0" w:color="auto"/>
                      </w:divBdr>
                      <w:divsChild>
                        <w:div w:id="805312909">
                          <w:marLeft w:val="0"/>
                          <w:marRight w:val="0"/>
                          <w:marTop w:val="0"/>
                          <w:marBottom w:val="0"/>
                          <w:divBdr>
                            <w:top w:val="none" w:sz="0" w:space="0" w:color="auto"/>
                            <w:left w:val="none" w:sz="0" w:space="0" w:color="auto"/>
                            <w:bottom w:val="none" w:sz="0" w:space="0" w:color="auto"/>
                            <w:right w:val="none" w:sz="0" w:space="0" w:color="auto"/>
                          </w:divBdr>
                          <w:divsChild>
                            <w:div w:id="805007929">
                              <w:marLeft w:val="0"/>
                              <w:marRight w:val="0"/>
                              <w:marTop w:val="0"/>
                              <w:marBottom w:val="0"/>
                              <w:divBdr>
                                <w:top w:val="none" w:sz="0" w:space="0" w:color="auto"/>
                                <w:left w:val="none" w:sz="0" w:space="0" w:color="auto"/>
                                <w:bottom w:val="none" w:sz="0" w:space="0" w:color="auto"/>
                                <w:right w:val="none" w:sz="0" w:space="0" w:color="auto"/>
                              </w:divBdr>
                              <w:divsChild>
                                <w:div w:id="1362242484">
                                  <w:marLeft w:val="0"/>
                                  <w:marRight w:val="0"/>
                                  <w:marTop w:val="0"/>
                                  <w:marBottom w:val="0"/>
                                  <w:divBdr>
                                    <w:top w:val="none" w:sz="0" w:space="0" w:color="auto"/>
                                    <w:left w:val="none" w:sz="0" w:space="0" w:color="auto"/>
                                    <w:bottom w:val="none" w:sz="0" w:space="0" w:color="auto"/>
                                    <w:right w:val="none" w:sz="0" w:space="0" w:color="auto"/>
                                  </w:divBdr>
                                  <w:divsChild>
                                    <w:div w:id="2019037501">
                                      <w:marLeft w:val="0"/>
                                      <w:marRight w:val="0"/>
                                      <w:marTop w:val="0"/>
                                      <w:marBottom w:val="0"/>
                                      <w:divBdr>
                                        <w:top w:val="none" w:sz="0" w:space="0" w:color="auto"/>
                                        <w:left w:val="none" w:sz="0" w:space="0" w:color="auto"/>
                                        <w:bottom w:val="none" w:sz="0" w:space="0" w:color="auto"/>
                                        <w:right w:val="none" w:sz="0" w:space="0" w:color="auto"/>
                                      </w:divBdr>
                                      <w:divsChild>
                                        <w:div w:id="200037922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53317907">
                                              <w:marLeft w:val="0"/>
                                              <w:marRight w:val="0"/>
                                              <w:marTop w:val="0"/>
                                              <w:marBottom w:val="0"/>
                                              <w:divBdr>
                                                <w:top w:val="none" w:sz="0" w:space="0" w:color="auto"/>
                                                <w:left w:val="none" w:sz="0" w:space="0" w:color="auto"/>
                                                <w:bottom w:val="none" w:sz="0" w:space="0" w:color="auto"/>
                                                <w:right w:val="none" w:sz="0" w:space="0" w:color="auto"/>
                                              </w:divBdr>
                                              <w:divsChild>
                                                <w:div w:id="201295320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5732530">
                                              <w:marLeft w:val="0"/>
                                              <w:marRight w:val="0"/>
                                              <w:marTop w:val="0"/>
                                              <w:marBottom w:val="0"/>
                                              <w:divBdr>
                                                <w:top w:val="none" w:sz="0" w:space="0" w:color="auto"/>
                                                <w:left w:val="none" w:sz="0" w:space="0" w:color="auto"/>
                                                <w:bottom w:val="none" w:sz="0" w:space="0" w:color="auto"/>
                                                <w:right w:val="none" w:sz="0" w:space="0" w:color="auto"/>
                                              </w:divBdr>
                                              <w:divsChild>
                                                <w:div w:id="57057994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79962443">
                                              <w:marLeft w:val="0"/>
                                              <w:marRight w:val="0"/>
                                              <w:marTop w:val="0"/>
                                              <w:marBottom w:val="0"/>
                                              <w:divBdr>
                                                <w:top w:val="none" w:sz="0" w:space="0" w:color="auto"/>
                                                <w:left w:val="none" w:sz="0" w:space="0" w:color="auto"/>
                                                <w:bottom w:val="none" w:sz="0" w:space="0" w:color="auto"/>
                                                <w:right w:val="none" w:sz="0" w:space="0" w:color="auto"/>
                                              </w:divBdr>
                                              <w:divsChild>
                                                <w:div w:id="18209966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40569703">
                                              <w:marLeft w:val="0"/>
                                              <w:marRight w:val="0"/>
                                              <w:marTop w:val="0"/>
                                              <w:marBottom w:val="0"/>
                                              <w:divBdr>
                                                <w:top w:val="none" w:sz="0" w:space="0" w:color="auto"/>
                                                <w:left w:val="none" w:sz="0" w:space="0" w:color="auto"/>
                                                <w:bottom w:val="none" w:sz="0" w:space="0" w:color="auto"/>
                                                <w:right w:val="none" w:sz="0" w:space="0" w:color="auto"/>
                                              </w:divBdr>
                                              <w:divsChild>
                                                <w:div w:id="67384187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28052752">
                                              <w:marLeft w:val="0"/>
                                              <w:marRight w:val="0"/>
                                              <w:marTop w:val="0"/>
                                              <w:marBottom w:val="0"/>
                                              <w:divBdr>
                                                <w:top w:val="none" w:sz="0" w:space="0" w:color="auto"/>
                                                <w:left w:val="none" w:sz="0" w:space="0" w:color="auto"/>
                                                <w:bottom w:val="none" w:sz="0" w:space="0" w:color="auto"/>
                                                <w:right w:val="none" w:sz="0" w:space="0" w:color="auto"/>
                                              </w:divBdr>
                                              <w:divsChild>
                                                <w:div w:id="143381823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35671911">
                                              <w:marLeft w:val="0"/>
                                              <w:marRight w:val="0"/>
                                              <w:marTop w:val="0"/>
                                              <w:marBottom w:val="0"/>
                                              <w:divBdr>
                                                <w:top w:val="none" w:sz="0" w:space="0" w:color="auto"/>
                                                <w:left w:val="none" w:sz="0" w:space="0" w:color="auto"/>
                                                <w:bottom w:val="none" w:sz="0" w:space="0" w:color="auto"/>
                                                <w:right w:val="none" w:sz="0" w:space="0" w:color="auto"/>
                                              </w:divBdr>
                                              <w:divsChild>
                                                <w:div w:id="65183468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95053943">
                                              <w:marLeft w:val="0"/>
                                              <w:marRight w:val="0"/>
                                              <w:marTop w:val="0"/>
                                              <w:marBottom w:val="0"/>
                                              <w:divBdr>
                                                <w:top w:val="none" w:sz="0" w:space="0" w:color="auto"/>
                                                <w:left w:val="none" w:sz="0" w:space="0" w:color="auto"/>
                                                <w:bottom w:val="none" w:sz="0" w:space="0" w:color="auto"/>
                                                <w:right w:val="none" w:sz="0" w:space="0" w:color="auto"/>
                                              </w:divBdr>
                                              <w:divsChild>
                                                <w:div w:id="13573245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05410515">
                                              <w:marLeft w:val="0"/>
                                              <w:marRight w:val="0"/>
                                              <w:marTop w:val="0"/>
                                              <w:marBottom w:val="0"/>
                                              <w:divBdr>
                                                <w:top w:val="none" w:sz="0" w:space="0" w:color="auto"/>
                                                <w:left w:val="none" w:sz="0" w:space="0" w:color="auto"/>
                                                <w:bottom w:val="none" w:sz="0" w:space="0" w:color="auto"/>
                                                <w:right w:val="none" w:sz="0" w:space="0" w:color="auto"/>
                                              </w:divBdr>
                                              <w:divsChild>
                                                <w:div w:id="50798536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963246">
      <w:bodyDiv w:val="1"/>
      <w:marLeft w:val="0"/>
      <w:marRight w:val="0"/>
      <w:marTop w:val="0"/>
      <w:marBottom w:val="0"/>
      <w:divBdr>
        <w:top w:val="none" w:sz="0" w:space="0" w:color="auto"/>
        <w:left w:val="none" w:sz="0" w:space="0" w:color="auto"/>
        <w:bottom w:val="none" w:sz="0" w:space="0" w:color="auto"/>
        <w:right w:val="none" w:sz="0" w:space="0" w:color="auto"/>
      </w:divBdr>
    </w:div>
    <w:div w:id="1426614427">
      <w:bodyDiv w:val="1"/>
      <w:marLeft w:val="0"/>
      <w:marRight w:val="0"/>
      <w:marTop w:val="0"/>
      <w:marBottom w:val="0"/>
      <w:divBdr>
        <w:top w:val="none" w:sz="0" w:space="0" w:color="auto"/>
        <w:left w:val="none" w:sz="0" w:space="0" w:color="auto"/>
        <w:bottom w:val="none" w:sz="0" w:space="0" w:color="auto"/>
        <w:right w:val="none" w:sz="0" w:space="0" w:color="auto"/>
      </w:divBdr>
    </w:div>
    <w:div w:id="1513185546">
      <w:bodyDiv w:val="1"/>
      <w:marLeft w:val="0"/>
      <w:marRight w:val="750"/>
      <w:marTop w:val="0"/>
      <w:marBottom w:val="0"/>
      <w:divBdr>
        <w:top w:val="none" w:sz="0" w:space="0" w:color="auto"/>
        <w:left w:val="none" w:sz="0" w:space="0" w:color="auto"/>
        <w:bottom w:val="none" w:sz="0" w:space="0" w:color="auto"/>
        <w:right w:val="none" w:sz="0" w:space="0" w:color="auto"/>
      </w:divBdr>
      <w:divsChild>
        <w:div w:id="869344764">
          <w:marLeft w:val="0"/>
          <w:marRight w:val="0"/>
          <w:marTop w:val="0"/>
          <w:marBottom w:val="0"/>
          <w:divBdr>
            <w:top w:val="none" w:sz="0" w:space="0" w:color="auto"/>
            <w:left w:val="none" w:sz="0" w:space="0" w:color="auto"/>
            <w:bottom w:val="none" w:sz="0" w:space="0" w:color="auto"/>
            <w:right w:val="none" w:sz="0" w:space="0" w:color="auto"/>
          </w:divBdr>
          <w:divsChild>
            <w:div w:id="2113745908">
              <w:marLeft w:val="0"/>
              <w:marRight w:val="0"/>
              <w:marTop w:val="0"/>
              <w:marBottom w:val="0"/>
              <w:divBdr>
                <w:top w:val="none" w:sz="0" w:space="0" w:color="auto"/>
                <w:left w:val="none" w:sz="0" w:space="0" w:color="auto"/>
                <w:bottom w:val="none" w:sz="0" w:space="0" w:color="auto"/>
                <w:right w:val="none" w:sz="0" w:space="0" w:color="auto"/>
              </w:divBdr>
              <w:divsChild>
                <w:div w:id="2089574810">
                  <w:marLeft w:val="0"/>
                  <w:marRight w:val="0"/>
                  <w:marTop w:val="0"/>
                  <w:marBottom w:val="0"/>
                  <w:divBdr>
                    <w:top w:val="none" w:sz="0" w:space="0" w:color="auto"/>
                    <w:left w:val="none" w:sz="0" w:space="0" w:color="auto"/>
                    <w:bottom w:val="none" w:sz="0" w:space="0" w:color="auto"/>
                    <w:right w:val="none" w:sz="0" w:space="0" w:color="auto"/>
                  </w:divBdr>
                  <w:divsChild>
                    <w:div w:id="1154950653">
                      <w:marLeft w:val="-225"/>
                      <w:marRight w:val="-225"/>
                      <w:marTop w:val="0"/>
                      <w:marBottom w:val="0"/>
                      <w:divBdr>
                        <w:top w:val="none" w:sz="0" w:space="0" w:color="auto"/>
                        <w:left w:val="none" w:sz="0" w:space="0" w:color="auto"/>
                        <w:bottom w:val="none" w:sz="0" w:space="0" w:color="auto"/>
                        <w:right w:val="none" w:sz="0" w:space="0" w:color="auto"/>
                      </w:divBdr>
                      <w:divsChild>
                        <w:div w:id="2095852255">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sChild>
                                <w:div w:id="698046913">
                                  <w:marLeft w:val="0"/>
                                  <w:marRight w:val="0"/>
                                  <w:marTop w:val="0"/>
                                  <w:marBottom w:val="0"/>
                                  <w:divBdr>
                                    <w:top w:val="none" w:sz="0" w:space="0" w:color="auto"/>
                                    <w:left w:val="none" w:sz="0" w:space="0" w:color="auto"/>
                                    <w:bottom w:val="none" w:sz="0" w:space="0" w:color="auto"/>
                                    <w:right w:val="none" w:sz="0" w:space="0" w:color="auto"/>
                                  </w:divBdr>
                                  <w:divsChild>
                                    <w:div w:id="859011705">
                                      <w:marLeft w:val="0"/>
                                      <w:marRight w:val="0"/>
                                      <w:marTop w:val="0"/>
                                      <w:marBottom w:val="0"/>
                                      <w:divBdr>
                                        <w:top w:val="none" w:sz="0" w:space="0" w:color="auto"/>
                                        <w:left w:val="none" w:sz="0" w:space="0" w:color="auto"/>
                                        <w:bottom w:val="none" w:sz="0" w:space="0" w:color="auto"/>
                                        <w:right w:val="none" w:sz="0" w:space="0" w:color="auto"/>
                                      </w:divBdr>
                                      <w:divsChild>
                                        <w:div w:id="120941995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73533683">
                                              <w:marLeft w:val="0"/>
                                              <w:marRight w:val="0"/>
                                              <w:marTop w:val="0"/>
                                              <w:marBottom w:val="0"/>
                                              <w:divBdr>
                                                <w:top w:val="none" w:sz="0" w:space="0" w:color="auto"/>
                                                <w:left w:val="none" w:sz="0" w:space="0" w:color="auto"/>
                                                <w:bottom w:val="none" w:sz="0" w:space="0" w:color="auto"/>
                                                <w:right w:val="none" w:sz="0" w:space="0" w:color="auto"/>
                                              </w:divBdr>
                                              <w:divsChild>
                                                <w:div w:id="91088761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86117495">
                                              <w:marLeft w:val="0"/>
                                              <w:marRight w:val="0"/>
                                              <w:marTop w:val="0"/>
                                              <w:marBottom w:val="0"/>
                                              <w:divBdr>
                                                <w:top w:val="none" w:sz="0" w:space="0" w:color="auto"/>
                                                <w:left w:val="none" w:sz="0" w:space="0" w:color="auto"/>
                                                <w:bottom w:val="none" w:sz="0" w:space="0" w:color="auto"/>
                                                <w:right w:val="none" w:sz="0" w:space="0" w:color="auto"/>
                                              </w:divBdr>
                                              <w:divsChild>
                                                <w:div w:id="54213324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06378908">
                                              <w:marLeft w:val="0"/>
                                              <w:marRight w:val="0"/>
                                              <w:marTop w:val="0"/>
                                              <w:marBottom w:val="0"/>
                                              <w:divBdr>
                                                <w:top w:val="none" w:sz="0" w:space="0" w:color="auto"/>
                                                <w:left w:val="none" w:sz="0" w:space="0" w:color="auto"/>
                                                <w:bottom w:val="none" w:sz="0" w:space="0" w:color="auto"/>
                                                <w:right w:val="none" w:sz="0" w:space="0" w:color="auto"/>
                                              </w:divBdr>
                                              <w:divsChild>
                                                <w:div w:id="20769248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68973493">
                                              <w:marLeft w:val="0"/>
                                              <w:marRight w:val="0"/>
                                              <w:marTop w:val="0"/>
                                              <w:marBottom w:val="0"/>
                                              <w:divBdr>
                                                <w:top w:val="none" w:sz="0" w:space="0" w:color="auto"/>
                                                <w:left w:val="none" w:sz="0" w:space="0" w:color="auto"/>
                                                <w:bottom w:val="none" w:sz="0" w:space="0" w:color="auto"/>
                                                <w:right w:val="none" w:sz="0" w:space="0" w:color="auto"/>
                                              </w:divBdr>
                                              <w:divsChild>
                                                <w:div w:id="95440895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49554575">
                                              <w:marLeft w:val="0"/>
                                              <w:marRight w:val="0"/>
                                              <w:marTop w:val="0"/>
                                              <w:marBottom w:val="0"/>
                                              <w:divBdr>
                                                <w:top w:val="none" w:sz="0" w:space="0" w:color="auto"/>
                                                <w:left w:val="none" w:sz="0" w:space="0" w:color="auto"/>
                                                <w:bottom w:val="none" w:sz="0" w:space="0" w:color="auto"/>
                                                <w:right w:val="none" w:sz="0" w:space="0" w:color="auto"/>
                                              </w:divBdr>
                                              <w:divsChild>
                                                <w:div w:id="6563045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90058343">
                                              <w:marLeft w:val="0"/>
                                              <w:marRight w:val="0"/>
                                              <w:marTop w:val="0"/>
                                              <w:marBottom w:val="0"/>
                                              <w:divBdr>
                                                <w:top w:val="none" w:sz="0" w:space="0" w:color="auto"/>
                                                <w:left w:val="none" w:sz="0" w:space="0" w:color="auto"/>
                                                <w:bottom w:val="none" w:sz="0" w:space="0" w:color="auto"/>
                                                <w:right w:val="none" w:sz="0" w:space="0" w:color="auto"/>
                                              </w:divBdr>
                                              <w:divsChild>
                                                <w:div w:id="82713430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14643490">
                                              <w:marLeft w:val="0"/>
                                              <w:marRight w:val="0"/>
                                              <w:marTop w:val="0"/>
                                              <w:marBottom w:val="0"/>
                                              <w:divBdr>
                                                <w:top w:val="none" w:sz="0" w:space="0" w:color="auto"/>
                                                <w:left w:val="none" w:sz="0" w:space="0" w:color="auto"/>
                                                <w:bottom w:val="none" w:sz="0" w:space="0" w:color="auto"/>
                                                <w:right w:val="none" w:sz="0" w:space="0" w:color="auto"/>
                                              </w:divBdr>
                                              <w:divsChild>
                                                <w:div w:id="11857051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957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hyperlink" Target="https://www.cessnock.nsw.gov.au/Council/Council-meetings/Minutes-agendas" TargetMode="External"/><Relationship Id="rId4" Type="http://schemas.openxmlformats.org/officeDocument/2006/relationships/settings" Target="settings.xml"/><Relationship Id="rId9" Type="http://schemas.openxmlformats.org/officeDocument/2006/relationships/hyperlink" Target="https://intramaps.cessnock.nsw.gov.au/intramaps96/default.htmhttps:/www.cessnock.nsw.gov.au/Council/Forms-documents/Plans-strategies/Recreation-Open-Space-Strategic-Pla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authority\PP_PLAN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54F7A-5B76-4485-A016-27B744DD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PP_PLANPRO</Template>
  <TotalTime>236</TotalTime>
  <Pages>17</Pages>
  <Words>5386</Words>
  <Characters>30271</Characters>
  <Application>Microsoft Office Word</Application>
  <DocSecurity>0</DocSecurity>
  <Lines>1121</Lines>
  <Paragraphs>495</Paragraphs>
  <ScaleCrop>false</ScaleCrop>
  <HeadingPairs>
    <vt:vector size="2" baseType="variant">
      <vt:variant>
        <vt:lpstr>Title</vt:lpstr>
      </vt:variant>
      <vt:variant>
        <vt:i4>1</vt:i4>
      </vt:variant>
    </vt:vector>
  </HeadingPairs>
  <TitlesOfParts>
    <vt:vector size="1" baseType="lpstr">
      <vt:lpstr>Template for a Planning Proposal</vt:lpstr>
    </vt:vector>
  </TitlesOfParts>
  <Company>CESSNOCK CITY COUNCIL</Company>
  <LinksUpToDate>false</LinksUpToDate>
  <CharactersWithSpaces>35162</CharactersWithSpaces>
  <SharedDoc>false</SharedDoc>
  <HLinks>
    <vt:vector size="12" baseType="variant">
      <vt:variant>
        <vt:i4>2162717</vt:i4>
      </vt:variant>
      <vt:variant>
        <vt:i4>3</vt:i4>
      </vt:variant>
      <vt:variant>
        <vt:i4>0</vt:i4>
      </vt:variant>
      <vt:variant>
        <vt:i4>5</vt:i4>
      </vt:variant>
      <vt:variant>
        <vt:lpwstr>mailto:XXXXXX@cessnock.nsw.gov.au</vt:lpwstr>
      </vt:variant>
      <vt:variant>
        <vt:lpwstr/>
      </vt:variant>
      <vt:variant>
        <vt:i4>5111892</vt:i4>
      </vt:variant>
      <vt:variant>
        <vt:i4>2103</vt:i4>
      </vt:variant>
      <vt:variant>
        <vt:i4>1025</vt:i4>
      </vt:variant>
      <vt:variant>
        <vt:i4>1</vt:i4>
      </vt:variant>
      <vt:variant>
        <vt:lpwstr>J:\_CCCLOGO.BMP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a Planning Proposal</dc:title>
  <dc:creator>Keren Brown</dc:creator>
  <cp:lastModifiedBy>Keren Brown</cp:lastModifiedBy>
  <cp:revision>20</cp:revision>
  <cp:lastPrinted>2020-07-24T02:18:00Z</cp:lastPrinted>
  <dcterms:created xsi:type="dcterms:W3CDTF">2021-08-18T06:10:00Z</dcterms:created>
  <dcterms:modified xsi:type="dcterms:W3CDTF">2021-08-20T05:34:00Z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cro Buildinfo">
    <vt:lpwstr>Revision: 1884067 - Build Date: 2018/07/27 13:34:42 - Revision Range: 1882251:1884067-Mixed revision WC</vt:lpwstr>
  </property>
  <property fmtid="{D5CDD505-2E9C-101B-9397-08002B2CF9AE}" pid="3" name="ser_num">
    <vt:lpwstr>1907499</vt:lpwstr>
  </property>
  <property fmtid="{D5CDD505-2E9C-101B-9397-08002B2CF9AE}" pid="4" name="conditions added">
    <vt:lpwstr>True</vt:lpwstr>
  </property>
</Properties>
</file>